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5659B" w14:textId="77777777" w:rsidR="003E4227" w:rsidRDefault="00E24B5D" w:rsidP="00CD136F">
      <w:r>
        <w:rPr>
          <w:noProof/>
        </w:rPr>
        <w:drawing>
          <wp:inline distT="0" distB="0" distL="0" distR="0" wp14:anchorId="3095492D" wp14:editId="5D5F373D">
            <wp:extent cx="1848771" cy="548640"/>
            <wp:effectExtent l="0" t="0" r="0" b="381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8771" cy="548640"/>
                    </a:xfrm>
                    <a:prstGeom prst="rect">
                      <a:avLst/>
                    </a:prstGeom>
                    <a:noFill/>
                    <a:ln>
                      <a:noFill/>
                    </a:ln>
                  </pic:spPr>
                </pic:pic>
              </a:graphicData>
            </a:graphic>
          </wp:inline>
        </w:drawing>
      </w:r>
    </w:p>
    <w:p w14:paraId="0ADB2B1C" w14:textId="6A819105" w:rsidR="00CD136F" w:rsidRDefault="00CD136F" w:rsidP="00CD136F">
      <w:r w:rsidRPr="00CC1D45">
        <w:rPr>
          <w:highlight w:val="yellow"/>
        </w:rPr>
        <w:t>Date of last update:</w:t>
      </w:r>
      <w:r w:rsidR="00F17C4F" w:rsidRPr="00CC1D45">
        <w:rPr>
          <w:highlight w:val="yellow"/>
        </w:rPr>
        <w:t xml:space="preserve"> </w:t>
      </w:r>
      <w:r w:rsidR="000F67F1" w:rsidRPr="00CC1D45">
        <w:rPr>
          <w:highlight w:val="yellow"/>
        </w:rPr>
        <w:t>0</w:t>
      </w:r>
      <w:r w:rsidR="00402A3E" w:rsidRPr="00CC1D45">
        <w:rPr>
          <w:highlight w:val="yellow"/>
        </w:rPr>
        <w:t>4</w:t>
      </w:r>
      <w:r w:rsidR="000F67F1" w:rsidRPr="00CC1D45">
        <w:rPr>
          <w:highlight w:val="yellow"/>
        </w:rPr>
        <w:t>/14</w:t>
      </w:r>
      <w:r w:rsidR="00CB07FE" w:rsidRPr="00CC1D45">
        <w:rPr>
          <w:highlight w:val="yellow"/>
        </w:rPr>
        <w:t>/2023</w:t>
      </w:r>
    </w:p>
    <w:p w14:paraId="7E3C11AD" w14:textId="70B6DB61" w:rsidR="002D139C" w:rsidRDefault="00276D7E">
      <w:pPr>
        <w:pBdr>
          <w:bottom w:val="single" w:sz="6" w:space="1" w:color="auto"/>
        </w:pBdr>
        <w:rPr>
          <w:rFonts w:ascii="Arial" w:hAnsi="Arial" w:cs="Arial"/>
          <w:sz w:val="24"/>
          <w:szCs w:val="24"/>
        </w:rPr>
      </w:pPr>
      <w:r>
        <w:rPr>
          <w:rFonts w:ascii="Arial" w:hAnsi="Arial" w:cs="Arial"/>
          <w:sz w:val="24"/>
          <w:szCs w:val="24"/>
        </w:rPr>
        <w:t xml:space="preserve">To help infection preventionists quickly activate iGAS prevention efforts, APIC’s Emerging Infectious Diseases Task Force has created an </w:t>
      </w:r>
      <w:r>
        <w:rPr>
          <w:rFonts w:ascii="Arial" w:hAnsi="Arial" w:cs="Arial"/>
          <w:b/>
          <w:bCs/>
          <w:sz w:val="24"/>
          <w:szCs w:val="24"/>
        </w:rPr>
        <w:t>iGAS Playbook</w:t>
      </w:r>
      <w:r>
        <w:rPr>
          <w:rFonts w:ascii="Arial" w:hAnsi="Arial" w:cs="Arial"/>
          <w:sz w:val="24"/>
          <w:szCs w:val="24"/>
        </w:rPr>
        <w:t xml:space="preserve"> that IPs can download and customize for use in their facilities. The Playbook is a concise workflow document that is designed to be user-friendly and operational for busy IPs.</w:t>
      </w:r>
    </w:p>
    <w:p w14:paraId="4173C348" w14:textId="77777777" w:rsidR="00CC1D45" w:rsidRDefault="00CC1D45">
      <w:pPr>
        <w:pBdr>
          <w:bottom w:val="single" w:sz="6" w:space="1" w:color="auto"/>
        </w:pBdr>
        <w:rPr>
          <w:rFonts w:ascii="Arial" w:hAnsi="Arial" w:cs="Arial"/>
          <w:sz w:val="24"/>
          <w:szCs w:val="24"/>
        </w:rPr>
      </w:pPr>
    </w:p>
    <w:p w14:paraId="288ACE69" w14:textId="6E83FA1D" w:rsidR="009753AC" w:rsidRDefault="008D1023">
      <w:pPr>
        <w:rPr>
          <w:sz w:val="40"/>
        </w:rPr>
      </w:pPr>
      <w:r w:rsidRPr="008D1023">
        <w:rPr>
          <w:sz w:val="40"/>
        </w:rPr>
        <w:t>Playbook:</w:t>
      </w:r>
      <w:r>
        <w:rPr>
          <w:i/>
          <w:iCs/>
          <w:sz w:val="40"/>
        </w:rPr>
        <w:t xml:space="preserve">  </w:t>
      </w:r>
      <w:r w:rsidR="006A6D20" w:rsidRPr="00E84B71">
        <w:rPr>
          <w:i/>
          <w:iCs/>
          <w:sz w:val="40"/>
        </w:rPr>
        <w:t>Streptococcus pyogenes</w:t>
      </w:r>
    </w:p>
    <w:p w14:paraId="151198A8" w14:textId="08F10F66" w:rsidR="00AF71FD" w:rsidRPr="009753AC" w:rsidRDefault="009753AC">
      <w:r w:rsidRPr="009753AC">
        <w:t>A</w:t>
      </w:r>
      <w:r w:rsidR="006A6D20" w:rsidRPr="009753AC">
        <w:t>cronym GAS, or</w:t>
      </w:r>
      <w:r w:rsidRPr="009753AC">
        <w:t xml:space="preserve"> Group A Strep is commonly used</w:t>
      </w:r>
      <w:r w:rsidR="006A6D20" w:rsidRPr="009753AC">
        <w:t xml:space="preserve">   </w:t>
      </w:r>
    </w:p>
    <w:p w14:paraId="33CEA38E" w14:textId="203A0013" w:rsidR="00D8123B" w:rsidRDefault="00CF4604">
      <w:r>
        <w:t>There are anecdotal reports of p</w:t>
      </w:r>
      <w:r w:rsidR="007158F0">
        <w:t>otential</w:t>
      </w:r>
      <w:r>
        <w:t xml:space="preserve">ly </w:t>
      </w:r>
      <w:r w:rsidR="007158F0">
        <w:t>increas</w:t>
      </w:r>
      <w:r w:rsidR="006D05AB">
        <w:t xml:space="preserve">ing </w:t>
      </w:r>
      <w:r w:rsidR="007158F0">
        <w:t xml:space="preserve">number </w:t>
      </w:r>
      <w:r w:rsidR="00577DF2">
        <w:t xml:space="preserve">of invasive </w:t>
      </w:r>
      <w:r w:rsidR="006D05AB">
        <w:t xml:space="preserve">streptococcal </w:t>
      </w:r>
      <w:r w:rsidR="00577DF2">
        <w:t xml:space="preserve">disease resulting in Streptococcal Toxic Shock Syndrome (STSS) and </w:t>
      </w:r>
      <w:r w:rsidR="008D5CE6">
        <w:t>Necrotizing Soft Tissue Infection (NSTI), also known necrotizing fasciitis</w:t>
      </w:r>
      <w:r w:rsidR="00C94E30">
        <w:t>,</w:t>
      </w:r>
      <w:r>
        <w:t xml:space="preserve"> </w:t>
      </w:r>
      <w:r w:rsidR="00C94E30">
        <w:t>cases.</w:t>
      </w:r>
    </w:p>
    <w:p w14:paraId="65F78967" w14:textId="00F9686B" w:rsidR="007F0031" w:rsidRDefault="004821BF" w:rsidP="007F0031">
      <w:r>
        <w:t xml:space="preserve">Risk/Triage Scale – </w:t>
      </w:r>
      <w:r w:rsidR="00C94E30">
        <w:t xml:space="preserve">Level 1: Recommend situation awareness </w:t>
      </w:r>
    </w:p>
    <w:p w14:paraId="05138E11" w14:textId="035A096E" w:rsidR="002D7BAA" w:rsidRDefault="009753AC" w:rsidP="007F0031">
      <w:pPr>
        <w:rPr>
          <w:color w:val="000000" w:themeColor="text1"/>
        </w:rPr>
      </w:pPr>
      <w:r>
        <w:rPr>
          <w:color w:val="000000" w:themeColor="text1"/>
        </w:rPr>
        <w:t xml:space="preserve">CDC is looking into an </w:t>
      </w:r>
      <w:r w:rsidR="00B90B7A" w:rsidRPr="00B90B7A">
        <w:rPr>
          <w:color w:val="000000" w:themeColor="text1"/>
        </w:rPr>
        <w:t xml:space="preserve">increase of invasive group A Strep (iGAS) infections </w:t>
      </w:r>
      <w:hyperlink r:id="rId12" w:history="1">
        <w:r w:rsidR="00B90B7A" w:rsidRPr="00B90B7A">
          <w:rPr>
            <w:rStyle w:val="Hyperlink"/>
          </w:rPr>
          <w:t xml:space="preserve">(CDC, </w:t>
        </w:r>
        <w:r w:rsidR="00E41134">
          <w:rPr>
            <w:rStyle w:val="Hyperlink"/>
          </w:rPr>
          <w:t>February</w:t>
        </w:r>
        <w:r w:rsidR="00B90B7A" w:rsidRPr="00B90B7A">
          <w:rPr>
            <w:rStyle w:val="Hyperlink"/>
          </w:rPr>
          <w:t xml:space="preserve"> </w:t>
        </w:r>
        <w:r w:rsidR="00E41134">
          <w:rPr>
            <w:rStyle w:val="Hyperlink"/>
          </w:rPr>
          <w:t>2</w:t>
        </w:r>
        <w:r w:rsidR="00B90B7A" w:rsidRPr="00B90B7A">
          <w:rPr>
            <w:rStyle w:val="Hyperlink"/>
          </w:rPr>
          <w:t>, 202</w:t>
        </w:r>
        <w:r w:rsidR="00E41134">
          <w:rPr>
            <w:rStyle w:val="Hyperlink"/>
          </w:rPr>
          <w:t>3</w:t>
        </w:r>
        <w:r w:rsidR="00B90B7A" w:rsidRPr="00B90B7A">
          <w:rPr>
            <w:rStyle w:val="Hyperlink"/>
          </w:rPr>
          <w:t>)</w:t>
        </w:r>
      </w:hyperlink>
      <w:r w:rsidR="00605AEB">
        <w:rPr>
          <w:color w:val="000000" w:themeColor="text1"/>
        </w:rPr>
        <w:t>.</w:t>
      </w:r>
    </w:p>
    <w:p w14:paraId="67528F47" w14:textId="486CD19A" w:rsidR="00C73D56" w:rsidRPr="00B90B7A" w:rsidRDefault="00C73D56" w:rsidP="002D7BAA">
      <w:pPr>
        <w:pStyle w:val="ListParagraph"/>
        <w:numPr>
          <w:ilvl w:val="0"/>
          <w:numId w:val="2"/>
        </w:numPr>
        <w:rPr>
          <w:color w:val="000000" w:themeColor="text1"/>
        </w:rPr>
      </w:pPr>
      <w:r>
        <w:rPr>
          <w:color w:val="000000" w:themeColor="text1"/>
        </w:rPr>
        <w:t>Several children’s hospitals are reporting increasing iGAS infections</w:t>
      </w:r>
      <w:r w:rsidR="00605AEB">
        <w:rPr>
          <w:color w:val="000000" w:themeColor="text1"/>
        </w:rPr>
        <w:t xml:space="preserve">, including some resulting in mortality </w:t>
      </w:r>
      <w:hyperlink r:id="rId13" w:history="1">
        <w:r w:rsidR="00605AEB" w:rsidRPr="00605AEB">
          <w:rPr>
            <w:rStyle w:val="Hyperlink"/>
          </w:rPr>
          <w:t>(</w:t>
        </w:r>
        <w:r w:rsidR="00E41134">
          <w:rPr>
            <w:rStyle w:val="Hyperlink"/>
          </w:rPr>
          <w:t>CDC</w:t>
        </w:r>
        <w:r w:rsidR="00605AEB" w:rsidRPr="00605AEB">
          <w:rPr>
            <w:rStyle w:val="Hyperlink"/>
          </w:rPr>
          <w:t xml:space="preserve">, </w:t>
        </w:r>
        <w:r w:rsidR="00E41134">
          <w:rPr>
            <w:rStyle w:val="Hyperlink"/>
          </w:rPr>
          <w:t>February</w:t>
        </w:r>
        <w:r w:rsidR="00605AEB" w:rsidRPr="00605AEB">
          <w:rPr>
            <w:rStyle w:val="Hyperlink"/>
          </w:rPr>
          <w:t xml:space="preserve"> </w:t>
        </w:r>
        <w:r w:rsidR="00E41134">
          <w:rPr>
            <w:rStyle w:val="Hyperlink"/>
          </w:rPr>
          <w:t>2</w:t>
        </w:r>
        <w:r w:rsidR="00605AEB" w:rsidRPr="00605AEB">
          <w:rPr>
            <w:rStyle w:val="Hyperlink"/>
          </w:rPr>
          <w:t>, 202</w:t>
        </w:r>
        <w:r w:rsidR="00E41134">
          <w:rPr>
            <w:rStyle w:val="Hyperlink"/>
          </w:rPr>
          <w:t>3</w:t>
        </w:r>
        <w:r w:rsidR="00605AEB" w:rsidRPr="00605AEB">
          <w:rPr>
            <w:rStyle w:val="Hyperlink"/>
          </w:rPr>
          <w:t>).</w:t>
        </w:r>
      </w:hyperlink>
    </w:p>
    <w:p w14:paraId="08CEB205" w14:textId="163044C9" w:rsidR="004821BF" w:rsidRDefault="004821BF">
      <w:r>
        <w:t>Prioritized Audiences – Hospitals</w:t>
      </w:r>
      <w:r w:rsidR="000A4B80">
        <w:t xml:space="preserve"> (children</w:t>
      </w:r>
      <w:r w:rsidR="00942310">
        <w:t xml:space="preserve">, teaching, and community), </w:t>
      </w:r>
      <w:r>
        <w:t>ambulatory care, outpatient and clinics, psychiatric care, home health, and public health</w:t>
      </w:r>
      <w:r w:rsidR="00665877">
        <w:t>.</w:t>
      </w:r>
    </w:p>
    <w:p w14:paraId="20799624" w14:textId="77777777" w:rsidR="009753AC" w:rsidRDefault="009753AC" w:rsidP="009753AC">
      <w:pPr>
        <w:pStyle w:val="Heading1"/>
      </w:pPr>
      <w:r>
        <w:t>Identification</w:t>
      </w:r>
    </w:p>
    <w:p w14:paraId="519E4789" w14:textId="77777777" w:rsidR="009753AC" w:rsidRPr="00200DD2" w:rsidRDefault="009753AC" w:rsidP="009753AC">
      <w:pPr>
        <w:pStyle w:val="Heading2"/>
        <w:numPr>
          <w:ilvl w:val="0"/>
          <w:numId w:val="5"/>
        </w:numPr>
        <w:ind w:left="360"/>
      </w:pPr>
      <w:r>
        <w:t>Screening Criteria</w:t>
      </w:r>
    </w:p>
    <w:p w14:paraId="3923C7DD" w14:textId="237BD062" w:rsidR="007725AF" w:rsidRPr="00B00791" w:rsidRDefault="007725AF" w:rsidP="009753AC">
      <w:pPr>
        <w:pStyle w:val="ListParagraph"/>
        <w:numPr>
          <w:ilvl w:val="1"/>
          <w:numId w:val="1"/>
        </w:numPr>
        <w:rPr>
          <w:rFonts w:cstheme="minorHAnsi"/>
        </w:rPr>
      </w:pPr>
      <w:r w:rsidRPr="007725AF">
        <w:rPr>
          <w:rFonts w:cstheme="minorHAnsi"/>
          <w:color w:val="000000"/>
          <w:shd w:val="clear" w:color="auto" w:fill="FFFFFF"/>
        </w:rPr>
        <w:t>Invasive group A streptococcal infections may manifest as any of several clinical syndromes, including pneumonia, bacteremia in association with cutaneous infection (e.g., cellulitis, erysipelas, or infection of a surgical or nonsurgical wound), deep soft-tissue infection (e.g., myositis or necrotizing fasciitis), meningitis, peritonitis, osteomyelitis, septic arthritis, postpartum sepsis (i.e., puerperal fever), neonatal sepsis, and non</w:t>
      </w:r>
      <w:r w:rsidR="00CB07FE">
        <w:rPr>
          <w:rFonts w:cstheme="minorHAnsi"/>
          <w:color w:val="000000"/>
          <w:shd w:val="clear" w:color="auto" w:fill="FFFFFF"/>
        </w:rPr>
        <w:t>-</w:t>
      </w:r>
      <w:r w:rsidRPr="007725AF">
        <w:rPr>
          <w:rFonts w:cstheme="minorHAnsi"/>
          <w:color w:val="000000"/>
          <w:shd w:val="clear" w:color="auto" w:fill="FFFFFF"/>
        </w:rPr>
        <w:t>focal bacteremia.</w:t>
      </w:r>
      <w:r w:rsidR="00B00791">
        <w:rPr>
          <w:rFonts w:cstheme="minorHAnsi"/>
          <w:color w:val="000000"/>
          <w:shd w:val="clear" w:color="auto" w:fill="FFFFFF"/>
        </w:rPr>
        <w:t xml:space="preserve"> </w:t>
      </w:r>
      <w:hyperlink r:id="rId14" w:history="1">
        <w:r w:rsidR="00B00791" w:rsidRPr="00B00791">
          <w:rPr>
            <w:rStyle w:val="Hyperlink"/>
            <w:rFonts w:cstheme="minorHAnsi"/>
            <w:shd w:val="clear" w:color="auto" w:fill="FFFFFF"/>
          </w:rPr>
          <w:t>(CDC, April 16, 2021.)</w:t>
        </w:r>
      </w:hyperlink>
    </w:p>
    <w:p w14:paraId="3E893A8B" w14:textId="17BCE22C" w:rsidR="00B00791" w:rsidRDefault="00956051" w:rsidP="009753AC">
      <w:pPr>
        <w:pStyle w:val="ListParagraph"/>
        <w:numPr>
          <w:ilvl w:val="2"/>
          <w:numId w:val="1"/>
        </w:numPr>
        <w:ind w:left="1620"/>
        <w:rPr>
          <w:rFonts w:cstheme="minorHAnsi"/>
        </w:rPr>
      </w:pPr>
      <w:r>
        <w:rPr>
          <w:rFonts w:cstheme="minorHAnsi"/>
        </w:rPr>
        <w:t>Necrotizing fasciitis</w:t>
      </w:r>
      <w:r w:rsidR="00C36ED9">
        <w:rPr>
          <w:rFonts w:cstheme="minorHAnsi"/>
        </w:rPr>
        <w:t xml:space="preserve"> clinical features </w:t>
      </w:r>
      <w:hyperlink r:id="rId15" w:history="1">
        <w:r w:rsidR="00C36ED9" w:rsidRPr="00C36ED9">
          <w:rPr>
            <w:rStyle w:val="Hyperlink"/>
            <w:rFonts w:cstheme="minorHAnsi"/>
          </w:rPr>
          <w:t>(CDC, June 27, 2022)</w:t>
        </w:r>
      </w:hyperlink>
      <w:r w:rsidR="005B4288">
        <w:rPr>
          <w:rFonts w:cstheme="minorHAnsi"/>
        </w:rPr>
        <w:t xml:space="preserve">, </w:t>
      </w:r>
      <w:r w:rsidR="008D152C">
        <w:rPr>
          <w:rFonts w:cstheme="minorHAnsi"/>
        </w:rPr>
        <w:t>(</w:t>
      </w:r>
      <w:hyperlink r:id="rId16" w:history="1">
        <w:r w:rsidR="008D152C" w:rsidRPr="008D152C">
          <w:rPr>
            <w:rStyle w:val="Hyperlink"/>
            <w:rFonts w:cstheme="minorHAnsi"/>
          </w:rPr>
          <w:t>CDC April 16, 2021</w:t>
        </w:r>
      </w:hyperlink>
      <w:r w:rsidR="008D152C">
        <w:rPr>
          <w:rFonts w:cstheme="minorHAnsi"/>
        </w:rPr>
        <w:t xml:space="preserve">) </w:t>
      </w:r>
      <w:r w:rsidR="005B4288">
        <w:t>with GAS laboratory confirmation</w:t>
      </w:r>
      <w:r w:rsidR="008E56F2">
        <w:t xml:space="preserve"> from tissue specimens</w:t>
      </w:r>
      <w:r w:rsidR="008D152C">
        <w:t>.</w:t>
      </w:r>
    </w:p>
    <w:p w14:paraId="55683932" w14:textId="55B17748" w:rsidR="00C36ED9" w:rsidRPr="00FA7465" w:rsidRDefault="008F09EA" w:rsidP="009753AC">
      <w:pPr>
        <w:pStyle w:val="ListParagraph"/>
        <w:numPr>
          <w:ilvl w:val="3"/>
          <w:numId w:val="1"/>
        </w:numPr>
        <w:ind w:left="2340"/>
        <w:rPr>
          <w:rFonts w:cstheme="minorHAnsi"/>
        </w:rPr>
      </w:pPr>
      <w:r w:rsidRPr="00FA7465">
        <w:rPr>
          <w:rFonts w:cstheme="minorHAnsi"/>
          <w:color w:val="000000"/>
          <w:shd w:val="clear" w:color="auto" w:fill="FFFFFF"/>
        </w:rPr>
        <w:t>Necrotizing fasciitis can affect any part of the body, but most commonly affects extremities, particularly the legs. Necrotizing fasciitis begins with pain in the affected area accompanied by the following signs:</w:t>
      </w:r>
    </w:p>
    <w:p w14:paraId="1439DCC0" w14:textId="408112D1" w:rsidR="008F09EA" w:rsidRPr="00FA7465" w:rsidRDefault="008F09EA" w:rsidP="009753AC">
      <w:pPr>
        <w:pStyle w:val="ListParagraph"/>
        <w:numPr>
          <w:ilvl w:val="4"/>
          <w:numId w:val="1"/>
        </w:numPr>
        <w:ind w:left="3060"/>
        <w:rPr>
          <w:rFonts w:cstheme="minorHAnsi"/>
        </w:rPr>
      </w:pPr>
      <w:r w:rsidRPr="00FA7465">
        <w:rPr>
          <w:rFonts w:cstheme="minorHAnsi"/>
          <w:color w:val="000000"/>
          <w:shd w:val="clear" w:color="auto" w:fill="FFFFFF"/>
        </w:rPr>
        <w:t>Swelling</w:t>
      </w:r>
    </w:p>
    <w:p w14:paraId="32BBB072" w14:textId="3C28BFA0" w:rsidR="008F09EA" w:rsidRPr="00FA7465" w:rsidRDefault="008F09EA" w:rsidP="009753AC">
      <w:pPr>
        <w:pStyle w:val="ListParagraph"/>
        <w:numPr>
          <w:ilvl w:val="4"/>
          <w:numId w:val="1"/>
        </w:numPr>
        <w:ind w:left="3060"/>
        <w:rPr>
          <w:rFonts w:cstheme="minorHAnsi"/>
        </w:rPr>
      </w:pPr>
      <w:r w:rsidRPr="00FA7465">
        <w:rPr>
          <w:rFonts w:cstheme="minorHAnsi"/>
          <w:color w:val="000000"/>
          <w:shd w:val="clear" w:color="auto" w:fill="FFFFFF"/>
        </w:rPr>
        <w:t>Erythema</w:t>
      </w:r>
    </w:p>
    <w:p w14:paraId="024C34CC" w14:textId="704B179E" w:rsidR="008F09EA" w:rsidRPr="00FA7465" w:rsidRDefault="008F09EA" w:rsidP="009753AC">
      <w:pPr>
        <w:pStyle w:val="ListParagraph"/>
        <w:numPr>
          <w:ilvl w:val="4"/>
          <w:numId w:val="1"/>
        </w:numPr>
        <w:ind w:left="3060"/>
        <w:rPr>
          <w:rFonts w:cstheme="minorHAnsi"/>
        </w:rPr>
      </w:pPr>
      <w:r w:rsidRPr="00FA7465">
        <w:rPr>
          <w:rFonts w:cstheme="minorHAnsi"/>
          <w:color w:val="000000"/>
          <w:shd w:val="clear" w:color="auto" w:fill="FFFFFF"/>
        </w:rPr>
        <w:t xml:space="preserve">Tenderness </w:t>
      </w:r>
    </w:p>
    <w:p w14:paraId="06116723" w14:textId="77777777" w:rsidR="00FA7465" w:rsidRPr="00FA7465" w:rsidRDefault="008F09EA" w:rsidP="009753AC">
      <w:pPr>
        <w:pStyle w:val="ListParagraph"/>
        <w:numPr>
          <w:ilvl w:val="4"/>
          <w:numId w:val="1"/>
        </w:numPr>
        <w:ind w:left="3060"/>
        <w:rPr>
          <w:rFonts w:cstheme="minorHAnsi"/>
        </w:rPr>
      </w:pPr>
      <w:r w:rsidRPr="00FA7465">
        <w:rPr>
          <w:rFonts w:cstheme="minorHAnsi"/>
          <w:color w:val="000000"/>
          <w:shd w:val="clear" w:color="auto" w:fill="FFFFFF"/>
        </w:rPr>
        <w:t>Heat</w:t>
      </w:r>
    </w:p>
    <w:p w14:paraId="422F59D7" w14:textId="48A4B2B6" w:rsidR="00FA7465" w:rsidRDefault="00FA7465" w:rsidP="009753AC">
      <w:pPr>
        <w:pStyle w:val="ListParagraph"/>
        <w:numPr>
          <w:ilvl w:val="4"/>
          <w:numId w:val="1"/>
        </w:numPr>
        <w:ind w:left="3060"/>
        <w:rPr>
          <w:rFonts w:cstheme="minorHAnsi"/>
        </w:rPr>
      </w:pPr>
      <w:r w:rsidRPr="00FA7465">
        <w:rPr>
          <w:rFonts w:cstheme="minorHAnsi"/>
          <w:color w:val="000000"/>
        </w:rPr>
        <w:t>Swelling progresses to brawny edema and then to dark-red induration. Within 24 to 48 hours, the overlying skin may turn dusky, indicating small vessels in the dermal papilla have thrombosed.</w:t>
      </w:r>
      <w:hyperlink r:id="rId17" w:anchor="r3" w:history="1"/>
      <w:r>
        <w:rPr>
          <w:rFonts w:cstheme="minorHAnsi"/>
          <w:color w:val="000000"/>
          <w:vertAlign w:val="superscript"/>
        </w:rPr>
        <w:t xml:space="preserve"> </w:t>
      </w:r>
      <w:r w:rsidRPr="00FA7465">
        <w:rPr>
          <w:rFonts w:cstheme="minorHAnsi"/>
          <w:color w:val="000000"/>
        </w:rPr>
        <w:t>Cutaneous ischemia also develops.</w:t>
      </w:r>
      <w:hyperlink r:id="rId18" w:anchor="r3" w:history="1"/>
      <w:r>
        <w:rPr>
          <w:rFonts w:cstheme="minorHAnsi"/>
          <w:color w:val="000000"/>
          <w:vertAlign w:val="superscript"/>
        </w:rPr>
        <w:t xml:space="preserve"> </w:t>
      </w:r>
      <w:r w:rsidRPr="00FA7465">
        <w:rPr>
          <w:rFonts w:cstheme="minorHAnsi"/>
          <w:color w:val="000000"/>
        </w:rPr>
        <w:t xml:space="preserve">Bullae form and are filled with straw colored fluid that progressively turns to hemorrhagic fluid. Affected tissues </w:t>
      </w:r>
      <w:r w:rsidRPr="00FA7465">
        <w:rPr>
          <w:rFonts w:cstheme="minorHAnsi"/>
          <w:color w:val="000000"/>
        </w:rPr>
        <w:lastRenderedPageBreak/>
        <w:t>progressively darken from red to purple to blue to black. As gangrene sets in, skin becomes anesthetized due to destruction of superficial nerves.</w:t>
      </w:r>
      <w:r w:rsidRPr="00FA7465">
        <w:rPr>
          <w:rFonts w:cstheme="minorHAnsi"/>
        </w:rPr>
        <w:t xml:space="preserve"> </w:t>
      </w:r>
    </w:p>
    <w:p w14:paraId="7168D15F" w14:textId="77777777" w:rsidR="00371912" w:rsidRPr="00371912" w:rsidRDefault="00371912" w:rsidP="009753AC">
      <w:pPr>
        <w:pStyle w:val="ListParagraph"/>
        <w:ind w:left="3060"/>
        <w:rPr>
          <w:rFonts w:cstheme="minorHAnsi"/>
        </w:rPr>
      </w:pPr>
    </w:p>
    <w:p w14:paraId="77892907" w14:textId="39FD60C9" w:rsidR="003B55A3" w:rsidRDefault="00C163F9" w:rsidP="009753AC">
      <w:pPr>
        <w:pStyle w:val="ListParagraph"/>
        <w:numPr>
          <w:ilvl w:val="2"/>
          <w:numId w:val="1"/>
        </w:numPr>
        <w:ind w:left="1620"/>
      </w:pPr>
      <w:r>
        <w:t>STSS clinical case defin</w:t>
      </w:r>
      <w:r w:rsidR="00F3732B">
        <w:t xml:space="preserve">ition, </w:t>
      </w:r>
      <w:r w:rsidR="004115D5">
        <w:t xml:space="preserve">with </w:t>
      </w:r>
      <w:r w:rsidR="00DB5002">
        <w:t xml:space="preserve">GAS </w:t>
      </w:r>
      <w:r w:rsidR="004115D5">
        <w:t xml:space="preserve">laboratory confirmation from a normally sterile site </w:t>
      </w:r>
      <w:hyperlink r:id="rId19" w:history="1">
        <w:r w:rsidR="004115D5" w:rsidRPr="00F3732B">
          <w:rPr>
            <w:rStyle w:val="Hyperlink"/>
          </w:rPr>
          <w:t xml:space="preserve">(CDC, </w:t>
        </w:r>
        <w:r w:rsidR="00F3732B" w:rsidRPr="00F3732B">
          <w:rPr>
            <w:rStyle w:val="Hyperlink"/>
          </w:rPr>
          <w:t>June 27, 2022)</w:t>
        </w:r>
      </w:hyperlink>
      <w:r w:rsidR="008D152C">
        <w:rPr>
          <w:rStyle w:val="Hyperlink"/>
        </w:rPr>
        <w:t xml:space="preserve">,  </w:t>
      </w:r>
      <w:r w:rsidR="008D152C">
        <w:rPr>
          <w:rFonts w:cstheme="minorHAnsi"/>
        </w:rPr>
        <w:t>(</w:t>
      </w:r>
      <w:hyperlink r:id="rId20" w:history="1">
        <w:r w:rsidR="008D152C" w:rsidRPr="008D152C">
          <w:rPr>
            <w:rStyle w:val="Hyperlink"/>
            <w:rFonts w:cstheme="minorHAnsi"/>
          </w:rPr>
          <w:t>CDC April 16, 2021</w:t>
        </w:r>
      </w:hyperlink>
      <w:r w:rsidR="008D152C">
        <w:rPr>
          <w:rFonts w:cstheme="minorHAnsi"/>
        </w:rPr>
        <w:t>)</w:t>
      </w:r>
    </w:p>
    <w:p w14:paraId="102724EB" w14:textId="77777777" w:rsidR="003B55A3" w:rsidRPr="003B55A3" w:rsidRDefault="007D3091" w:rsidP="009753AC">
      <w:pPr>
        <w:pStyle w:val="ListParagraph"/>
        <w:numPr>
          <w:ilvl w:val="3"/>
          <w:numId w:val="1"/>
        </w:numPr>
        <w:ind w:left="2340"/>
        <w:rPr>
          <w:rFonts w:cstheme="minorHAnsi"/>
        </w:rPr>
      </w:pPr>
      <w:r w:rsidRPr="003B55A3">
        <w:rPr>
          <w:rFonts w:eastAsia="Times New Roman" w:cstheme="minorHAnsi"/>
          <w:color w:val="000000"/>
        </w:rPr>
        <w:t>Hypotension defined by a systolic blood pressure less than or equal to 90 mm Hg for adults or less than the fifth percentile by age for children aged less than 16 years.</w:t>
      </w:r>
    </w:p>
    <w:p w14:paraId="2810E5F4" w14:textId="65267A1A" w:rsidR="007D3091" w:rsidRPr="003B55A3" w:rsidRDefault="007D3091" w:rsidP="009753AC">
      <w:pPr>
        <w:pStyle w:val="ListParagraph"/>
        <w:numPr>
          <w:ilvl w:val="3"/>
          <w:numId w:val="1"/>
        </w:numPr>
        <w:ind w:left="2340"/>
        <w:rPr>
          <w:rFonts w:cstheme="minorHAnsi"/>
        </w:rPr>
      </w:pPr>
      <w:r w:rsidRPr="003B55A3">
        <w:rPr>
          <w:rFonts w:eastAsia="Times New Roman" w:cstheme="minorHAnsi"/>
          <w:color w:val="000000"/>
        </w:rPr>
        <w:t>Multi-organ involvement characterized by two or more of the following:</w:t>
      </w:r>
    </w:p>
    <w:p w14:paraId="2B528F31" w14:textId="77777777" w:rsidR="007D3091" w:rsidRPr="007D3091" w:rsidRDefault="007D3091" w:rsidP="009753AC">
      <w:pPr>
        <w:numPr>
          <w:ilvl w:val="4"/>
          <w:numId w:val="1"/>
        </w:numPr>
        <w:spacing w:before="100" w:beforeAutospacing="1" w:after="100" w:afterAutospacing="1" w:line="240" w:lineRule="auto"/>
        <w:ind w:left="3060"/>
        <w:rPr>
          <w:rFonts w:eastAsia="Times New Roman" w:cstheme="minorHAnsi"/>
          <w:color w:val="000000"/>
        </w:rPr>
      </w:pPr>
      <w:r w:rsidRPr="007D3091">
        <w:rPr>
          <w:rFonts w:eastAsia="Times New Roman" w:cstheme="minorHAnsi"/>
          <w:color w:val="000000"/>
        </w:rPr>
        <w:t>Renal impairment: Creatinine greater than or equal to 2 mg/dL (greater than or equal to 177 µmol/L) for adults or greater than or equal to twice the upper limit of normal for age. In patients with preexisting renal disease, a greater than twofold elevation over the baseline level.</w:t>
      </w:r>
    </w:p>
    <w:p w14:paraId="194C2491" w14:textId="77777777" w:rsidR="007D3091" w:rsidRPr="007D3091" w:rsidRDefault="007D3091" w:rsidP="009753AC">
      <w:pPr>
        <w:numPr>
          <w:ilvl w:val="4"/>
          <w:numId w:val="1"/>
        </w:numPr>
        <w:spacing w:before="100" w:beforeAutospacing="1" w:after="100" w:afterAutospacing="1" w:line="240" w:lineRule="auto"/>
        <w:ind w:left="3060"/>
        <w:rPr>
          <w:rFonts w:eastAsia="Times New Roman" w:cstheme="minorHAnsi"/>
          <w:color w:val="000000"/>
        </w:rPr>
      </w:pPr>
      <w:r w:rsidRPr="007D3091">
        <w:rPr>
          <w:rFonts w:eastAsia="Times New Roman" w:cstheme="minorHAnsi"/>
          <w:color w:val="000000"/>
        </w:rPr>
        <w:t>Coagulopathy: Platelets less than or equal to 100,000/mm3 (less than or equal to 100 x 106/L) or disseminated intravascular coagulation, defined by prolonged clotting times, low fibrinogen level, and the presence of fibrin degradation products.</w:t>
      </w:r>
    </w:p>
    <w:p w14:paraId="19239962" w14:textId="77777777" w:rsidR="007D3091" w:rsidRPr="007D3091" w:rsidRDefault="007D3091" w:rsidP="009753AC">
      <w:pPr>
        <w:numPr>
          <w:ilvl w:val="4"/>
          <w:numId w:val="1"/>
        </w:numPr>
        <w:spacing w:before="100" w:beforeAutospacing="1" w:after="100" w:afterAutospacing="1" w:line="240" w:lineRule="auto"/>
        <w:ind w:left="3060"/>
        <w:rPr>
          <w:rFonts w:eastAsia="Times New Roman" w:cstheme="minorHAnsi"/>
          <w:color w:val="000000"/>
        </w:rPr>
      </w:pPr>
      <w:r w:rsidRPr="007D3091">
        <w:rPr>
          <w:rFonts w:eastAsia="Times New Roman" w:cstheme="minorHAnsi"/>
          <w:color w:val="000000"/>
        </w:rPr>
        <w:t>Liver involvement: Alanine aminotransferase, aspartate aminotransferase, or total bilirubin levels greater than or equal to twice the upper limit of normal for the patient’s age. In patients with preexisting liver disease, a greater than twofold increase over the baseline level.</w:t>
      </w:r>
    </w:p>
    <w:p w14:paraId="05BFFBC1" w14:textId="77777777" w:rsidR="007D3091" w:rsidRPr="007D3091" w:rsidRDefault="007D3091" w:rsidP="009753AC">
      <w:pPr>
        <w:numPr>
          <w:ilvl w:val="4"/>
          <w:numId w:val="1"/>
        </w:numPr>
        <w:spacing w:before="100" w:beforeAutospacing="1" w:after="100" w:afterAutospacing="1" w:line="240" w:lineRule="auto"/>
        <w:ind w:left="3060"/>
        <w:rPr>
          <w:rFonts w:eastAsia="Times New Roman" w:cstheme="minorHAnsi"/>
          <w:color w:val="000000"/>
        </w:rPr>
      </w:pPr>
      <w:r w:rsidRPr="007D3091">
        <w:rPr>
          <w:rFonts w:eastAsia="Times New Roman" w:cstheme="minorHAnsi"/>
          <w:color w:val="000000"/>
        </w:rPr>
        <w:t>Acute respiratory distress syndrome: Defined by acute onset of diffuse pulmonary infiltrates and hypoxemia in the absence of cardiac failure or by evidence of diffuse capillary leak manifested by acute onset of generalized edema, or pleural or peritoneal effusions with hypoalbuminemia.</w:t>
      </w:r>
    </w:p>
    <w:p w14:paraId="3129C29A" w14:textId="77777777" w:rsidR="007D3091" w:rsidRPr="007D3091" w:rsidRDefault="007D3091" w:rsidP="009753AC">
      <w:pPr>
        <w:numPr>
          <w:ilvl w:val="4"/>
          <w:numId w:val="1"/>
        </w:numPr>
        <w:spacing w:before="100" w:beforeAutospacing="1" w:after="100" w:afterAutospacing="1" w:line="240" w:lineRule="auto"/>
        <w:ind w:left="3060"/>
        <w:rPr>
          <w:rFonts w:eastAsia="Times New Roman" w:cstheme="minorHAnsi"/>
          <w:color w:val="000000"/>
        </w:rPr>
      </w:pPr>
      <w:r w:rsidRPr="007D3091">
        <w:rPr>
          <w:rFonts w:eastAsia="Times New Roman" w:cstheme="minorHAnsi"/>
          <w:color w:val="000000"/>
        </w:rPr>
        <w:t>A generalized erythematous macular rash that may desquamate.</w:t>
      </w:r>
    </w:p>
    <w:p w14:paraId="5A3AF27D" w14:textId="73871DA5" w:rsidR="00371912" w:rsidRPr="00371912" w:rsidRDefault="007D3091" w:rsidP="009753AC">
      <w:pPr>
        <w:numPr>
          <w:ilvl w:val="4"/>
          <w:numId w:val="1"/>
        </w:numPr>
        <w:spacing w:before="100" w:beforeAutospacing="1" w:after="0" w:line="240" w:lineRule="auto"/>
        <w:ind w:left="3060"/>
        <w:rPr>
          <w:rFonts w:eastAsia="Times New Roman" w:cstheme="minorHAnsi"/>
          <w:color w:val="000000"/>
        </w:rPr>
      </w:pPr>
      <w:r w:rsidRPr="007D3091">
        <w:rPr>
          <w:rFonts w:eastAsia="Times New Roman" w:cstheme="minorHAnsi"/>
          <w:color w:val="000000"/>
        </w:rPr>
        <w:t>Soft-tissue necrosis, including necrotizing fasciitis or myositis, or gangrene.</w:t>
      </w:r>
    </w:p>
    <w:p w14:paraId="3E630625" w14:textId="77777777" w:rsidR="009753AC" w:rsidRPr="00200DD2" w:rsidRDefault="009753AC" w:rsidP="009753AC">
      <w:pPr>
        <w:pStyle w:val="Heading2"/>
        <w:numPr>
          <w:ilvl w:val="0"/>
          <w:numId w:val="5"/>
        </w:numPr>
        <w:ind w:left="360"/>
      </w:pPr>
      <w:r>
        <w:t>Travel Considerations</w:t>
      </w:r>
    </w:p>
    <w:p w14:paraId="7E7DF71F" w14:textId="43B4B065" w:rsidR="00916C22" w:rsidRDefault="0091570B" w:rsidP="009753AC">
      <w:pPr>
        <w:pStyle w:val="ListParagraph"/>
        <w:numPr>
          <w:ilvl w:val="1"/>
          <w:numId w:val="1"/>
        </w:numPr>
      </w:pPr>
      <w:r>
        <w:t>A travel history is important</w:t>
      </w:r>
      <w:r w:rsidR="00371912">
        <w:t xml:space="preserve"> due to an overseas exposure and incubation period</w:t>
      </w:r>
      <w:r>
        <w:t>. The World Health Organization (WHO)</w:t>
      </w:r>
      <w:r w:rsidR="00B5308F">
        <w:t xml:space="preserve"> is identifying an increase of GAS invasive diseases in several countries </w:t>
      </w:r>
      <w:hyperlink r:id="rId21" w:history="1">
        <w:r w:rsidR="00B5308F" w:rsidRPr="00B5308F">
          <w:rPr>
            <w:rStyle w:val="Hyperlink"/>
          </w:rPr>
          <w:t>(WHO, December 1</w:t>
        </w:r>
        <w:r w:rsidR="006A4B01">
          <w:rPr>
            <w:rStyle w:val="Hyperlink"/>
          </w:rPr>
          <w:t>3</w:t>
        </w:r>
        <w:r w:rsidR="00B5308F" w:rsidRPr="00B5308F">
          <w:rPr>
            <w:rStyle w:val="Hyperlink"/>
          </w:rPr>
          <w:t>, 2022)</w:t>
        </w:r>
      </w:hyperlink>
      <w:r w:rsidR="00B5308F">
        <w:t>.</w:t>
      </w:r>
    </w:p>
    <w:p w14:paraId="35549B87" w14:textId="7177F199" w:rsidR="009B6236" w:rsidRDefault="009B6236" w:rsidP="009753AC">
      <w:pPr>
        <w:pStyle w:val="ListParagraph"/>
        <w:numPr>
          <w:ilvl w:val="1"/>
          <w:numId w:val="1"/>
        </w:numPr>
      </w:pPr>
      <w:r>
        <w:t>Streptococcal disease</w:t>
      </w:r>
      <w:r w:rsidR="00B94A62">
        <w:t xml:space="preserve"> is </w:t>
      </w:r>
      <w:r w:rsidR="00B94A62" w:rsidRPr="00B94A62">
        <w:rPr>
          <w:u w:val="single"/>
        </w:rPr>
        <w:t>not</w:t>
      </w:r>
      <w:r w:rsidR="00B94A62">
        <w:t xml:space="preserve"> listed on the CDC’s Travelers</w:t>
      </w:r>
      <w:r w:rsidR="004018E8">
        <w:t>’</w:t>
      </w:r>
      <w:r w:rsidR="00B94A62">
        <w:t xml:space="preserve"> Health</w:t>
      </w:r>
      <w:r w:rsidR="004018E8">
        <w:t xml:space="preserve"> webpage.</w:t>
      </w:r>
      <w:r w:rsidR="00B94A62">
        <w:t xml:space="preserve"> (</w:t>
      </w:r>
      <w:hyperlink r:id="rId22" w:history="1">
        <w:r w:rsidR="004018E8" w:rsidRPr="004018E8">
          <w:rPr>
            <w:rStyle w:val="Hyperlink"/>
          </w:rPr>
          <w:t>CDC, No Date</w:t>
        </w:r>
      </w:hyperlink>
      <w:r w:rsidR="00B97F47">
        <w:rPr>
          <w:rStyle w:val="Hyperlink"/>
        </w:rPr>
        <w:t>)</w:t>
      </w:r>
    </w:p>
    <w:p w14:paraId="3A6B4B64" w14:textId="77777777" w:rsidR="009753AC" w:rsidRPr="00200DD2" w:rsidRDefault="009753AC" w:rsidP="009753AC">
      <w:pPr>
        <w:pStyle w:val="Heading2"/>
        <w:numPr>
          <w:ilvl w:val="0"/>
          <w:numId w:val="5"/>
        </w:numPr>
        <w:ind w:left="360"/>
      </w:pPr>
      <w:r>
        <w:t>Exposure Definition</w:t>
      </w:r>
    </w:p>
    <w:p w14:paraId="2742D794" w14:textId="26BEE6B7" w:rsidR="00DF4945" w:rsidRDefault="00DF4945" w:rsidP="009753AC">
      <w:pPr>
        <w:pStyle w:val="ListParagraph"/>
        <w:numPr>
          <w:ilvl w:val="1"/>
          <w:numId w:val="1"/>
        </w:numPr>
      </w:pPr>
      <w:r>
        <w:t xml:space="preserve">Prophylaxis </w:t>
      </w:r>
      <w:r w:rsidR="00420A09">
        <w:t xml:space="preserve">discussion </w:t>
      </w:r>
      <w:r>
        <w:t>for exposure to GAS pneumonia, necrotizing fasciitis, STSS</w:t>
      </w:r>
      <w:r w:rsidR="00F66628">
        <w:t xml:space="preserve"> (</w:t>
      </w:r>
      <w:hyperlink r:id="rId23" w:history="1">
        <w:r w:rsidR="00F66628" w:rsidRPr="00F66628">
          <w:rPr>
            <w:rStyle w:val="Hyperlink"/>
          </w:rPr>
          <w:t xml:space="preserve">CDC, </w:t>
        </w:r>
        <w:r w:rsidR="006A4B01">
          <w:rPr>
            <w:rStyle w:val="Hyperlink"/>
          </w:rPr>
          <w:t>March 3, 2023</w:t>
        </w:r>
        <w:r w:rsidR="00F66628" w:rsidRPr="00F66628">
          <w:rPr>
            <w:rStyle w:val="Hyperlink"/>
          </w:rPr>
          <w:t>)</w:t>
        </w:r>
      </w:hyperlink>
      <w:r w:rsidR="00F66628">
        <w:t xml:space="preserve"> </w:t>
      </w:r>
      <w:r w:rsidR="00420A09">
        <w:t xml:space="preserve"> </w:t>
      </w:r>
    </w:p>
    <w:p w14:paraId="14E9DA07" w14:textId="6011461A" w:rsidR="0093438B" w:rsidRPr="0093438B" w:rsidRDefault="0093438B" w:rsidP="009753AC">
      <w:pPr>
        <w:pStyle w:val="ListParagraph"/>
        <w:numPr>
          <w:ilvl w:val="1"/>
          <w:numId w:val="1"/>
        </w:numPr>
        <w:rPr>
          <w:rFonts w:cstheme="minorHAnsi"/>
        </w:rPr>
      </w:pPr>
      <w:r w:rsidRPr="0093438B">
        <w:rPr>
          <w:rFonts w:cstheme="minorHAnsi"/>
          <w:color w:val="000000"/>
          <w:shd w:val="clear" w:color="auto" w:fill="FFFFFF"/>
        </w:rPr>
        <w:t>CDC does not recommend chemoprophylaxis or routine screening of household contacts of individuals with confirmed invasive group A streptococcal infections.</w:t>
      </w:r>
      <w:hyperlink r:id="rId24" w:anchor="r6" w:history="1"/>
      <w:r>
        <w:rPr>
          <w:rFonts w:cstheme="minorHAnsi"/>
          <w:color w:val="000000"/>
          <w:vertAlign w:val="superscript"/>
        </w:rPr>
        <w:t xml:space="preserve"> </w:t>
      </w:r>
      <w:r w:rsidRPr="0093438B">
        <w:rPr>
          <w:rFonts w:cstheme="minorHAnsi"/>
          <w:color w:val="000000"/>
          <w:shd w:val="clear" w:color="auto" w:fill="FFFFFF"/>
        </w:rPr>
        <w:t>Certain groups are at increased risk of sporadic invasive group A strep disease. In addition, people 65 years or older are at increased risk of death if they get an invasive infection. For this reason, healthcare providers may choose to offer chemoprophylaxis to all members of households of individuals with invasive group A strep infection with elderly household contacts or otherwise high-risk household contacts.</w:t>
      </w:r>
      <w:r>
        <w:rPr>
          <w:rFonts w:cstheme="minorHAnsi"/>
          <w:color w:val="000000"/>
          <w:shd w:val="clear" w:color="auto" w:fill="FFFFFF"/>
        </w:rPr>
        <w:t xml:space="preserve"> </w:t>
      </w:r>
      <w:hyperlink r:id="rId25" w:history="1">
        <w:r w:rsidRPr="0093438B">
          <w:rPr>
            <w:rStyle w:val="Hyperlink"/>
            <w:rFonts w:cstheme="minorHAnsi"/>
            <w:shd w:val="clear" w:color="auto" w:fill="FFFFFF"/>
          </w:rPr>
          <w:t>(CDC, June 27, 2022)</w:t>
        </w:r>
      </w:hyperlink>
    </w:p>
    <w:p w14:paraId="3B0F9AFA" w14:textId="6C54247D" w:rsidR="009753AC" w:rsidRPr="00200DD2" w:rsidRDefault="009753AC" w:rsidP="009753AC">
      <w:pPr>
        <w:pStyle w:val="Heading2"/>
        <w:numPr>
          <w:ilvl w:val="0"/>
          <w:numId w:val="5"/>
        </w:numPr>
        <w:ind w:left="360"/>
      </w:pPr>
      <w:r>
        <w:t>Testing Information</w:t>
      </w:r>
    </w:p>
    <w:p w14:paraId="1C8A7274" w14:textId="49F9A53A" w:rsidR="00A60BC7" w:rsidRDefault="00A350F3" w:rsidP="009753AC">
      <w:pPr>
        <w:pStyle w:val="ListParagraph"/>
        <w:numPr>
          <w:ilvl w:val="1"/>
          <w:numId w:val="1"/>
        </w:numPr>
      </w:pPr>
      <w:r>
        <w:t>Pharyngitis:</w:t>
      </w:r>
      <w:r w:rsidR="00A60BC7">
        <w:t xml:space="preserve"> Rapid antigen detection test (RADT)</w:t>
      </w:r>
      <w:r w:rsidR="001B18FF">
        <w:t xml:space="preserve"> is a commonly used test</w:t>
      </w:r>
      <w:r w:rsidR="00A60BC7">
        <w:t xml:space="preserve">. Throat culture is gold standard. </w:t>
      </w:r>
      <w:hyperlink r:id="rId26" w:history="1">
        <w:r w:rsidR="00A60BC7" w:rsidRPr="00C821C1">
          <w:rPr>
            <w:rStyle w:val="Hyperlink"/>
          </w:rPr>
          <w:t xml:space="preserve">(CDC, </w:t>
        </w:r>
        <w:r w:rsidR="00C821C1" w:rsidRPr="00C821C1">
          <w:rPr>
            <w:rStyle w:val="Hyperlink"/>
          </w:rPr>
          <w:t>June 27, 2022</w:t>
        </w:r>
      </w:hyperlink>
      <w:r w:rsidR="00C821C1">
        <w:t>)</w:t>
      </w:r>
    </w:p>
    <w:p w14:paraId="0B2AF287" w14:textId="45FF01D4" w:rsidR="00C821C1" w:rsidRPr="00230B23" w:rsidRDefault="00A4117E" w:rsidP="009753AC">
      <w:pPr>
        <w:pStyle w:val="ListParagraph"/>
        <w:numPr>
          <w:ilvl w:val="1"/>
          <w:numId w:val="1"/>
        </w:numPr>
        <w:rPr>
          <w:rStyle w:val="Hyperlink"/>
          <w:color w:val="auto"/>
          <w:u w:val="none"/>
        </w:rPr>
      </w:pPr>
      <w:r>
        <w:t>S</w:t>
      </w:r>
      <w:r w:rsidR="00052EB2">
        <w:t>TSS</w:t>
      </w:r>
      <w:r w:rsidR="00A350F3">
        <w:t>:</w:t>
      </w:r>
      <w:r w:rsidR="002C57C9">
        <w:t xml:space="preserve"> GAS </w:t>
      </w:r>
      <w:r w:rsidR="001B18FF">
        <w:t>is usually isolated</w:t>
      </w:r>
      <w:r w:rsidR="002C57C9">
        <w:t xml:space="preserve"> from a normally sterile site e.g., blood, CSF, joint, etc. </w:t>
      </w:r>
      <w:hyperlink r:id="rId27" w:history="1">
        <w:r w:rsidR="002C57C9" w:rsidRPr="00AD0DEE">
          <w:rPr>
            <w:rStyle w:val="Hyperlink"/>
          </w:rPr>
          <w:t>(CDC, June 27, 2022</w:t>
        </w:r>
        <w:r w:rsidR="00AD0DEE" w:rsidRPr="00AD0DEE">
          <w:rPr>
            <w:rStyle w:val="Hyperlink"/>
          </w:rPr>
          <w:t>)</w:t>
        </w:r>
      </w:hyperlink>
    </w:p>
    <w:p w14:paraId="431A24F1" w14:textId="228EF41D" w:rsidR="00230B23" w:rsidRDefault="00230B23" w:rsidP="009753AC">
      <w:pPr>
        <w:pStyle w:val="ListParagraph"/>
        <w:numPr>
          <w:ilvl w:val="1"/>
          <w:numId w:val="1"/>
        </w:numPr>
      </w:pPr>
      <w:r>
        <w:t xml:space="preserve">Necrotizing </w:t>
      </w:r>
      <w:r w:rsidR="00A350F3">
        <w:t>fasciitis:</w:t>
      </w:r>
      <w:r>
        <w:t xml:space="preserve"> GAS </w:t>
      </w:r>
      <w:r w:rsidR="001B18FF">
        <w:t>is isolated from tissue or blood.</w:t>
      </w:r>
    </w:p>
    <w:p w14:paraId="7308C5F2" w14:textId="4A56A992" w:rsidR="009753AC" w:rsidRPr="00200DD2" w:rsidRDefault="009753AC" w:rsidP="009753AC">
      <w:pPr>
        <w:pStyle w:val="Heading2"/>
        <w:numPr>
          <w:ilvl w:val="0"/>
          <w:numId w:val="5"/>
        </w:numPr>
        <w:ind w:left="360"/>
      </w:pPr>
      <w:r>
        <w:t>Specimen Collection</w:t>
      </w:r>
    </w:p>
    <w:p w14:paraId="0FC2BBD3" w14:textId="34E0C9A5" w:rsidR="00AD0DEE" w:rsidRDefault="00AD0DEE" w:rsidP="009753AC">
      <w:pPr>
        <w:pStyle w:val="ListParagraph"/>
        <w:numPr>
          <w:ilvl w:val="1"/>
          <w:numId w:val="1"/>
        </w:numPr>
      </w:pPr>
      <w:r>
        <w:t xml:space="preserve">Specimen collection is per the facility policy </w:t>
      </w:r>
      <w:r w:rsidR="008206D9">
        <w:t>(</w:t>
      </w:r>
      <w:r>
        <w:t>e.g., blood cultures</w:t>
      </w:r>
      <w:r w:rsidR="008206D9">
        <w:t>)</w:t>
      </w:r>
      <w:r>
        <w:t>.</w:t>
      </w:r>
    </w:p>
    <w:p w14:paraId="79B424AC" w14:textId="3061F156" w:rsidR="009753AC" w:rsidRPr="00200DD2" w:rsidRDefault="009753AC" w:rsidP="009753AC">
      <w:pPr>
        <w:pStyle w:val="Heading2"/>
        <w:numPr>
          <w:ilvl w:val="0"/>
          <w:numId w:val="5"/>
        </w:numPr>
        <w:ind w:left="360"/>
      </w:pPr>
      <w:r>
        <w:lastRenderedPageBreak/>
        <w:t>Differentiation from Similar Diseases</w:t>
      </w:r>
    </w:p>
    <w:p w14:paraId="0A911C2A" w14:textId="25B3EEF4" w:rsidR="00A72BE7" w:rsidRDefault="00A72BE7" w:rsidP="009753AC">
      <w:pPr>
        <w:pStyle w:val="ListParagraph"/>
        <w:numPr>
          <w:ilvl w:val="1"/>
          <w:numId w:val="1"/>
        </w:numPr>
      </w:pPr>
      <w:r>
        <w:t>Isolation of GAS by culture from a normally sterile site</w:t>
      </w:r>
      <w:r w:rsidR="001B18FF">
        <w:t xml:space="preserve"> will differentiate from other infections.</w:t>
      </w:r>
      <w:r>
        <w:t xml:space="preserve"> </w:t>
      </w:r>
      <w:hyperlink r:id="rId28" w:history="1">
        <w:r w:rsidRPr="00A72BE7">
          <w:rPr>
            <w:rStyle w:val="Hyperlink"/>
          </w:rPr>
          <w:t>(CDC, April 16, 2021)</w:t>
        </w:r>
      </w:hyperlink>
    </w:p>
    <w:p w14:paraId="072FA472" w14:textId="76A44B27" w:rsidR="009753AC" w:rsidRPr="00200DD2" w:rsidRDefault="009753AC" w:rsidP="009753AC">
      <w:pPr>
        <w:pStyle w:val="Heading2"/>
        <w:numPr>
          <w:ilvl w:val="0"/>
          <w:numId w:val="5"/>
        </w:numPr>
        <w:ind w:left="360"/>
      </w:pPr>
      <w:r>
        <w:t>Bioterrorism Threat</w:t>
      </w:r>
    </w:p>
    <w:p w14:paraId="0F5D4A64" w14:textId="649D5FCE" w:rsidR="00BD7C23" w:rsidRDefault="007C1D9F" w:rsidP="009753AC">
      <w:pPr>
        <w:pStyle w:val="ListParagraph"/>
        <w:numPr>
          <w:ilvl w:val="1"/>
          <w:numId w:val="1"/>
        </w:numPr>
      </w:pPr>
      <w:r>
        <w:t>Naturally occurring; GAS is not identified as a bioterrorism agent</w:t>
      </w:r>
      <w:r w:rsidR="00402EBE">
        <w:t>.</w:t>
      </w:r>
      <w:r>
        <w:t xml:space="preserve"> </w:t>
      </w:r>
      <w:hyperlink r:id="rId29" w:history="1">
        <w:r w:rsidRPr="007C1D9F">
          <w:rPr>
            <w:rStyle w:val="Hyperlink"/>
          </w:rPr>
          <w:t>(CDC, April 4, 2018)</w:t>
        </w:r>
      </w:hyperlink>
    </w:p>
    <w:p w14:paraId="17E4181F" w14:textId="747A1CE8" w:rsidR="009753AC" w:rsidRPr="00200DD2" w:rsidRDefault="009753AC" w:rsidP="009753AC">
      <w:pPr>
        <w:pStyle w:val="Heading2"/>
        <w:numPr>
          <w:ilvl w:val="0"/>
          <w:numId w:val="5"/>
        </w:numPr>
        <w:ind w:left="360"/>
      </w:pPr>
      <w:r>
        <w:t>Antimicrobial Resistance</w:t>
      </w:r>
    </w:p>
    <w:p w14:paraId="74698AAE" w14:textId="51CF8CEE" w:rsidR="007C1D9F" w:rsidRDefault="004E4C48" w:rsidP="009753AC">
      <w:pPr>
        <w:pStyle w:val="ListParagraph"/>
        <w:numPr>
          <w:ilvl w:val="1"/>
          <w:numId w:val="1"/>
        </w:numPr>
      </w:pPr>
      <w:r>
        <w:t>Penicillin</w:t>
      </w:r>
      <w:r w:rsidR="0069130D">
        <w:t>:</w:t>
      </w:r>
      <w:r>
        <w:t xml:space="preserve"> No reports of GAS being resistant. </w:t>
      </w:r>
      <w:hyperlink r:id="rId30" w:history="1">
        <w:r w:rsidRPr="004E4C48">
          <w:rPr>
            <w:rStyle w:val="Hyperlink"/>
          </w:rPr>
          <w:t>CDC, June 27, 2022</w:t>
        </w:r>
      </w:hyperlink>
      <w:r w:rsidR="00D50F60">
        <w:t>)</w:t>
      </w:r>
    </w:p>
    <w:p w14:paraId="7D8E98D2" w14:textId="33EE2C22" w:rsidR="00A07DD5" w:rsidRPr="00CB07FE" w:rsidRDefault="00D50F60" w:rsidP="009753AC">
      <w:pPr>
        <w:pStyle w:val="ListParagraph"/>
        <w:numPr>
          <w:ilvl w:val="1"/>
          <w:numId w:val="1"/>
        </w:numPr>
        <w:rPr>
          <w:rStyle w:val="Hyperlink"/>
          <w:color w:val="auto"/>
          <w:u w:val="none"/>
        </w:rPr>
      </w:pPr>
      <w:r>
        <w:t>Azithromycin, Clarithromycin</w:t>
      </w:r>
      <w:r w:rsidR="0069130D">
        <w:t xml:space="preserve">: </w:t>
      </w:r>
      <w:r w:rsidR="001B18FF">
        <w:t>Reports of resistance have been identified</w:t>
      </w:r>
      <w:r w:rsidR="0069130D">
        <w:t xml:space="preserve">. </w:t>
      </w:r>
      <w:r w:rsidR="00087EC0">
        <w:t>C</w:t>
      </w:r>
      <w:r w:rsidR="00413DEB">
        <w:t>onsider</w:t>
      </w:r>
      <w:r w:rsidR="00087EC0">
        <w:t xml:space="preserve"> this type of resistance </w:t>
      </w:r>
      <w:r w:rsidR="002365F5">
        <w:t>for</w:t>
      </w:r>
      <w:r w:rsidR="00413DEB">
        <w:t xml:space="preserve"> patients with a PCN allergy</w:t>
      </w:r>
      <w:r w:rsidR="00402EBE">
        <w:t>.</w:t>
      </w:r>
      <w:r w:rsidR="00413DEB">
        <w:t xml:space="preserve"> </w:t>
      </w:r>
      <w:hyperlink r:id="rId31" w:history="1">
        <w:r w:rsidR="00413DEB" w:rsidRPr="00413DEB">
          <w:rPr>
            <w:rStyle w:val="Hyperlink"/>
          </w:rPr>
          <w:t>(CDC, June 27, 2022)</w:t>
        </w:r>
      </w:hyperlink>
    </w:p>
    <w:p w14:paraId="6F6FDE0C" w14:textId="02D4DB24" w:rsidR="004821BF" w:rsidRDefault="004821BF" w:rsidP="009753AC">
      <w:pPr>
        <w:pStyle w:val="Heading1"/>
      </w:pPr>
      <w:r>
        <w:t>Prevent</w:t>
      </w:r>
      <w:r w:rsidR="00E309DA">
        <w:t>ion of</w:t>
      </w:r>
      <w:r>
        <w:t xml:space="preserve"> Transmission</w:t>
      </w:r>
      <w:r w:rsidR="00D813FC">
        <w:t xml:space="preserve"> </w:t>
      </w:r>
    </w:p>
    <w:p w14:paraId="040808F3" w14:textId="5914E900" w:rsidR="009753AC" w:rsidRPr="00200DD2" w:rsidRDefault="00BC6563" w:rsidP="00BC6563">
      <w:pPr>
        <w:pStyle w:val="Heading2"/>
        <w:numPr>
          <w:ilvl w:val="0"/>
          <w:numId w:val="6"/>
        </w:numPr>
      </w:pPr>
      <w:r>
        <w:t>Precautions to Prevent Transmission</w:t>
      </w:r>
    </w:p>
    <w:p w14:paraId="7EFDAD75" w14:textId="059B056A" w:rsidR="00877D70" w:rsidRDefault="00877D70" w:rsidP="00BC6563">
      <w:pPr>
        <w:pStyle w:val="ListParagraph"/>
        <w:numPr>
          <w:ilvl w:val="0"/>
          <w:numId w:val="7"/>
        </w:numPr>
      </w:pPr>
      <w:r>
        <w:t xml:space="preserve">Good hand hygiene and respiratory etiquette are </w:t>
      </w:r>
      <w:r w:rsidR="00702127">
        <w:t>warranted; Standard precautions</w:t>
      </w:r>
    </w:p>
    <w:p w14:paraId="748C9DDA" w14:textId="13964572" w:rsidR="000F3A30" w:rsidRDefault="00A35EA9" w:rsidP="00BE38DC">
      <w:pPr>
        <w:pStyle w:val="ListParagraph"/>
        <w:numPr>
          <w:ilvl w:val="2"/>
          <w:numId w:val="1"/>
        </w:numPr>
      </w:pPr>
      <w:r>
        <w:t xml:space="preserve">Transmission based </w:t>
      </w:r>
      <w:r w:rsidR="00702127">
        <w:t>precautions</w:t>
      </w:r>
      <w:r>
        <w:t xml:space="preserve"> are indicated for </w:t>
      </w:r>
      <w:r w:rsidR="00877D70">
        <w:t>certain presentations</w:t>
      </w:r>
      <w:r>
        <w:t xml:space="preserve"> of GAS infections</w:t>
      </w:r>
      <w:r w:rsidR="000F3A30">
        <w:t xml:space="preserve"> for hospitalized patients or residents in </w:t>
      </w:r>
      <w:r w:rsidR="00702127">
        <w:t>communal</w:t>
      </w:r>
      <w:r w:rsidR="000F3A30">
        <w:t xml:space="preserve"> living </w:t>
      </w:r>
      <w:r w:rsidR="00702127">
        <w:t>arrangements</w:t>
      </w:r>
      <w:r w:rsidR="000F3A30">
        <w:t xml:space="preserve">. People with </w:t>
      </w:r>
      <w:r w:rsidR="00877D70">
        <w:t xml:space="preserve">Group A strep </w:t>
      </w:r>
      <w:r w:rsidR="00702127">
        <w:t xml:space="preserve">pharyngitis or </w:t>
      </w:r>
      <w:r w:rsidR="00877D70">
        <w:t>scarlet fever should stay home from work, school</w:t>
      </w:r>
      <w:r w:rsidR="00E309DA">
        <w:t xml:space="preserve">, </w:t>
      </w:r>
      <w:r w:rsidR="00877D70">
        <w:t xml:space="preserve">or </w:t>
      </w:r>
      <w:r w:rsidR="00702127">
        <w:t>daycare</w:t>
      </w:r>
      <w:r w:rsidR="00877D70">
        <w:t xml:space="preserve"> </w:t>
      </w:r>
      <w:r w:rsidR="00702127">
        <w:t>until</w:t>
      </w:r>
      <w:r w:rsidR="00877D70">
        <w:t xml:space="preserve"> they are afebrile </w:t>
      </w:r>
      <w:r w:rsidR="00996116">
        <w:t>and 12</w:t>
      </w:r>
      <w:r w:rsidR="00877D70">
        <w:t xml:space="preserve"> hours after </w:t>
      </w:r>
      <w:r w:rsidR="00702127">
        <w:t>starting</w:t>
      </w:r>
      <w:r w:rsidR="00877D70">
        <w:t xml:space="preserve"> </w:t>
      </w:r>
      <w:r w:rsidR="00702127">
        <w:t>appropriate</w:t>
      </w:r>
      <w:r w:rsidR="00877D70">
        <w:t xml:space="preserve"> </w:t>
      </w:r>
      <w:r w:rsidR="00702127">
        <w:t>antibiotic</w:t>
      </w:r>
      <w:r w:rsidR="00CB07FE">
        <w:t xml:space="preserve"> treatment</w:t>
      </w:r>
      <w:r w:rsidR="00877D70">
        <w:t xml:space="preserve">. People with impetigo can </w:t>
      </w:r>
      <w:r w:rsidR="00702127">
        <w:t>return</w:t>
      </w:r>
      <w:r w:rsidR="00877D70">
        <w:t xml:space="preserve"> to normal activities after </w:t>
      </w:r>
      <w:r w:rsidR="00702127">
        <w:t>initiating antibiotics</w:t>
      </w:r>
      <w:r w:rsidR="00877D70">
        <w:t xml:space="preserve"> and the </w:t>
      </w:r>
      <w:r w:rsidR="00702127">
        <w:t>lesions</w:t>
      </w:r>
      <w:r w:rsidR="00877D70">
        <w:t xml:space="preserve"> are covered</w:t>
      </w:r>
      <w:r w:rsidR="007F0031">
        <w:t xml:space="preserve"> </w:t>
      </w:r>
      <w:hyperlink r:id="rId32" w:history="1">
        <w:r w:rsidR="007F0031" w:rsidRPr="00000FEC">
          <w:rPr>
            <w:rStyle w:val="Hyperlink"/>
          </w:rPr>
          <w:t>(CDC, July 22, 20</w:t>
        </w:r>
        <w:r w:rsidR="006A4B01">
          <w:rPr>
            <w:rStyle w:val="Hyperlink"/>
          </w:rPr>
          <w:t>19</w:t>
        </w:r>
        <w:r w:rsidR="007F0031" w:rsidRPr="00000FEC">
          <w:rPr>
            <w:rStyle w:val="Hyperlink"/>
          </w:rPr>
          <w:t>)</w:t>
        </w:r>
      </w:hyperlink>
      <w:r w:rsidR="00877D70">
        <w:t xml:space="preserve">. </w:t>
      </w:r>
    </w:p>
    <w:tbl>
      <w:tblPr>
        <w:tblStyle w:val="TableGrid"/>
        <w:tblW w:w="0" w:type="auto"/>
        <w:tblInd w:w="2160" w:type="dxa"/>
        <w:tblLook w:val="04A0" w:firstRow="1" w:lastRow="0" w:firstColumn="1" w:lastColumn="0" w:noHBand="0" w:noVBand="1"/>
      </w:tblPr>
      <w:tblGrid>
        <w:gridCol w:w="2540"/>
        <w:gridCol w:w="3215"/>
        <w:gridCol w:w="2700"/>
      </w:tblGrid>
      <w:tr w:rsidR="00877D70" w14:paraId="4519E2A8" w14:textId="655C0F85" w:rsidTr="00BE38DC">
        <w:tc>
          <w:tcPr>
            <w:tcW w:w="2540" w:type="dxa"/>
          </w:tcPr>
          <w:p w14:paraId="7E545502" w14:textId="26F5BC6A" w:rsidR="00877D70" w:rsidRDefault="00877D70" w:rsidP="00B11490">
            <w:pPr>
              <w:pStyle w:val="ListParagraph"/>
              <w:ind w:left="0"/>
            </w:pPr>
            <w:r>
              <w:t>Contact and droplet</w:t>
            </w:r>
          </w:p>
        </w:tc>
        <w:tc>
          <w:tcPr>
            <w:tcW w:w="3215" w:type="dxa"/>
          </w:tcPr>
          <w:p w14:paraId="044E2624" w14:textId="76C6E060" w:rsidR="00877D70" w:rsidRDefault="00877D70" w:rsidP="00B11490">
            <w:pPr>
              <w:pStyle w:val="ListParagraph"/>
              <w:ind w:left="0"/>
            </w:pPr>
            <w:r>
              <w:t xml:space="preserve">Droplet </w:t>
            </w:r>
          </w:p>
        </w:tc>
        <w:tc>
          <w:tcPr>
            <w:tcW w:w="2700" w:type="dxa"/>
          </w:tcPr>
          <w:p w14:paraId="17CC3B3C" w14:textId="55FAB378" w:rsidR="00877D70" w:rsidRDefault="00877D70" w:rsidP="00B11490">
            <w:pPr>
              <w:pStyle w:val="ListParagraph"/>
              <w:ind w:left="0"/>
            </w:pPr>
            <w:r>
              <w:t xml:space="preserve">Standard </w:t>
            </w:r>
          </w:p>
        </w:tc>
      </w:tr>
      <w:tr w:rsidR="00877D70" w14:paraId="6F5761D4" w14:textId="11091F14" w:rsidTr="00BE38DC">
        <w:tc>
          <w:tcPr>
            <w:tcW w:w="2540" w:type="dxa"/>
          </w:tcPr>
          <w:p w14:paraId="403F2A62" w14:textId="1E1AF2D0" w:rsidR="00877D70" w:rsidRDefault="00877D70" w:rsidP="00B11490">
            <w:pPr>
              <w:pStyle w:val="ListParagraph"/>
              <w:ind w:left="0"/>
            </w:pPr>
            <w:r>
              <w:t>Major skin, wound</w:t>
            </w:r>
            <w:r w:rsidR="00A67767">
              <w:t>,</w:t>
            </w:r>
            <w:r>
              <w:t xml:space="preserve"> or burn</w:t>
            </w:r>
          </w:p>
          <w:p w14:paraId="0D192DFC" w14:textId="664EBF1B" w:rsidR="00877D70" w:rsidRDefault="00877D70" w:rsidP="00B11490">
            <w:pPr>
              <w:pStyle w:val="ListParagraph"/>
              <w:ind w:left="0"/>
            </w:pPr>
          </w:p>
        </w:tc>
        <w:tc>
          <w:tcPr>
            <w:tcW w:w="3215" w:type="dxa"/>
          </w:tcPr>
          <w:p w14:paraId="022BFF11" w14:textId="77777777" w:rsidR="00877D70" w:rsidRDefault="00877D70" w:rsidP="00CB07FE">
            <w:pPr>
              <w:pStyle w:val="ListParagraph"/>
              <w:numPr>
                <w:ilvl w:val="0"/>
                <w:numId w:val="4"/>
              </w:numPr>
              <w:ind w:left="316"/>
            </w:pPr>
            <w:r>
              <w:t xml:space="preserve">Pharyngitis in infants and young children </w:t>
            </w:r>
          </w:p>
          <w:p w14:paraId="1A3B9D5A" w14:textId="7709AAB7" w:rsidR="00877D70" w:rsidRDefault="00CB07FE" w:rsidP="00CB07FE">
            <w:pPr>
              <w:pStyle w:val="ListParagraph"/>
              <w:numPr>
                <w:ilvl w:val="0"/>
                <w:numId w:val="4"/>
              </w:numPr>
              <w:ind w:left="316"/>
            </w:pPr>
            <w:r>
              <w:t>Pneumonia</w:t>
            </w:r>
          </w:p>
          <w:p w14:paraId="7DBD72BC" w14:textId="6CE457A5" w:rsidR="00877D70" w:rsidRDefault="00877D70" w:rsidP="00CB07FE">
            <w:pPr>
              <w:pStyle w:val="ListParagraph"/>
              <w:numPr>
                <w:ilvl w:val="0"/>
                <w:numId w:val="4"/>
              </w:numPr>
              <w:ind w:left="316"/>
            </w:pPr>
            <w:r>
              <w:t xml:space="preserve">Scarlet fever in </w:t>
            </w:r>
            <w:r w:rsidR="00CB07FE">
              <w:t>infants</w:t>
            </w:r>
            <w:r>
              <w:t xml:space="preserve"> and </w:t>
            </w:r>
            <w:r w:rsidR="00CB07FE">
              <w:t>young</w:t>
            </w:r>
            <w:r>
              <w:t xml:space="preserve"> children</w:t>
            </w:r>
          </w:p>
          <w:p w14:paraId="1A05E60E" w14:textId="4112EB88" w:rsidR="00877D70" w:rsidRDefault="00877D70" w:rsidP="00CB07FE">
            <w:pPr>
              <w:pStyle w:val="ListParagraph"/>
              <w:numPr>
                <w:ilvl w:val="0"/>
                <w:numId w:val="4"/>
              </w:numPr>
              <w:ind w:left="316"/>
            </w:pPr>
            <w:r>
              <w:t>Severe invasive disease</w:t>
            </w:r>
          </w:p>
        </w:tc>
        <w:tc>
          <w:tcPr>
            <w:tcW w:w="2700" w:type="dxa"/>
          </w:tcPr>
          <w:p w14:paraId="25F9F12C" w14:textId="0AE1D063" w:rsidR="00877D70" w:rsidRDefault="00877D70" w:rsidP="00B11490">
            <w:pPr>
              <w:pStyle w:val="ListParagraph"/>
              <w:ind w:left="0"/>
            </w:pPr>
            <w:r>
              <w:t>Minor skin, wound</w:t>
            </w:r>
            <w:r w:rsidR="00A67767">
              <w:t>,</w:t>
            </w:r>
            <w:r>
              <w:t xml:space="preserve"> or burn</w:t>
            </w:r>
            <w:r w:rsidR="00A67767">
              <w:t>,</w:t>
            </w:r>
            <w:r>
              <w:t xml:space="preserve"> or </w:t>
            </w:r>
            <w:r w:rsidR="00CB07FE">
              <w:t>e</w:t>
            </w:r>
            <w:r w:rsidR="00CB07FE" w:rsidRPr="00CB07FE">
              <w:t>ndometritis</w:t>
            </w:r>
          </w:p>
        </w:tc>
      </w:tr>
      <w:tr w:rsidR="00877D70" w14:paraId="663FC3F3" w14:textId="00A5F397" w:rsidTr="00BE38DC">
        <w:tc>
          <w:tcPr>
            <w:tcW w:w="2540" w:type="dxa"/>
          </w:tcPr>
          <w:p w14:paraId="0650EB72" w14:textId="60EDCE94" w:rsidR="00877D70" w:rsidRDefault="00877D70" w:rsidP="00B11490">
            <w:pPr>
              <w:pStyle w:val="ListParagraph"/>
              <w:ind w:left="0"/>
            </w:pPr>
            <w:r>
              <w:t>Until drainage stops o</w:t>
            </w:r>
            <w:r w:rsidR="00A67767">
              <w:t>r is</w:t>
            </w:r>
            <w:r>
              <w:t xml:space="preserve"> contained by dressing</w:t>
            </w:r>
          </w:p>
        </w:tc>
        <w:tc>
          <w:tcPr>
            <w:tcW w:w="3215" w:type="dxa"/>
          </w:tcPr>
          <w:p w14:paraId="69651767" w14:textId="0A30A09E" w:rsidR="00877D70" w:rsidRDefault="00877D70" w:rsidP="00B11490">
            <w:pPr>
              <w:pStyle w:val="ListParagraph"/>
              <w:ind w:left="0"/>
            </w:pPr>
            <w:r>
              <w:t xml:space="preserve">Until 24 hours after initiation of </w:t>
            </w:r>
            <w:r w:rsidR="00CB07FE">
              <w:t>effective</w:t>
            </w:r>
            <w:r>
              <w:t xml:space="preserve"> treatment </w:t>
            </w:r>
          </w:p>
        </w:tc>
        <w:tc>
          <w:tcPr>
            <w:tcW w:w="2700" w:type="dxa"/>
          </w:tcPr>
          <w:p w14:paraId="797E89B8" w14:textId="77777777" w:rsidR="00877D70" w:rsidRDefault="00877D70" w:rsidP="00B11490">
            <w:pPr>
              <w:pStyle w:val="ListParagraph"/>
              <w:ind w:left="0"/>
            </w:pPr>
          </w:p>
        </w:tc>
      </w:tr>
    </w:tbl>
    <w:p w14:paraId="1DFB8E66" w14:textId="55A77A2F" w:rsidR="00BC6563" w:rsidRPr="00200DD2" w:rsidRDefault="00BC6563" w:rsidP="00BC6563">
      <w:pPr>
        <w:pStyle w:val="Heading2"/>
        <w:numPr>
          <w:ilvl w:val="0"/>
          <w:numId w:val="6"/>
        </w:numPr>
      </w:pPr>
      <w:r>
        <w:t>Personal Protective Equipment (PPE)</w:t>
      </w:r>
    </w:p>
    <w:p w14:paraId="45E7F966" w14:textId="333FFBED" w:rsidR="00A07DD5" w:rsidRDefault="00A07DD5" w:rsidP="00BC6563">
      <w:pPr>
        <w:pStyle w:val="ListParagraph"/>
        <w:numPr>
          <w:ilvl w:val="0"/>
          <w:numId w:val="8"/>
        </w:numPr>
      </w:pPr>
      <w:r>
        <w:t xml:space="preserve">A </w:t>
      </w:r>
      <w:r w:rsidR="00877D70">
        <w:t>surgical or procedure</w:t>
      </w:r>
      <w:r>
        <w:t xml:space="preserve"> mask is indicated for droplet precautions. </w:t>
      </w:r>
      <w:r w:rsidR="00996116">
        <w:t>Use g</w:t>
      </w:r>
      <w:r>
        <w:t xml:space="preserve">loves and gowns for </w:t>
      </w:r>
      <w:r w:rsidR="00877D70">
        <w:t xml:space="preserve">contact precautions if there </w:t>
      </w:r>
      <w:r w:rsidR="00996116">
        <w:t>are</w:t>
      </w:r>
      <w:r w:rsidR="00877D70">
        <w:t xml:space="preserve"> </w:t>
      </w:r>
      <w:r>
        <w:t>major skin, wound</w:t>
      </w:r>
      <w:r w:rsidR="00996116">
        <w:t>,</w:t>
      </w:r>
      <w:r>
        <w:t xml:space="preserve"> or </w:t>
      </w:r>
      <w:r w:rsidR="00877D70">
        <w:t>burn</w:t>
      </w:r>
      <w:r>
        <w:t xml:space="preserve"> infections</w:t>
      </w:r>
      <w:r w:rsidR="00996116">
        <w:t>.</w:t>
      </w:r>
    </w:p>
    <w:p w14:paraId="0D65D1DB" w14:textId="29C015A9" w:rsidR="00BC6563" w:rsidRPr="00200DD2" w:rsidRDefault="00BC6563" w:rsidP="00BC6563">
      <w:pPr>
        <w:pStyle w:val="Heading2"/>
        <w:numPr>
          <w:ilvl w:val="0"/>
          <w:numId w:val="6"/>
        </w:numPr>
      </w:pPr>
      <w:r>
        <w:t>Disinfection and Waste Considerations</w:t>
      </w:r>
    </w:p>
    <w:p w14:paraId="4FFBB265" w14:textId="5F618E2F" w:rsidR="00163AF4" w:rsidRDefault="00702127" w:rsidP="00BC6563">
      <w:pPr>
        <w:pStyle w:val="ListParagraph"/>
        <w:numPr>
          <w:ilvl w:val="0"/>
          <w:numId w:val="9"/>
        </w:numPr>
      </w:pPr>
      <w:r>
        <w:t>Routine hospital grade disinfectants will suffice to disinfect share</w:t>
      </w:r>
      <w:r w:rsidR="00996116">
        <w:t>d</w:t>
      </w:r>
      <w:r>
        <w:t xml:space="preserve"> equipment and inanimate objects. No special handling of regulated medical waste</w:t>
      </w:r>
      <w:r w:rsidR="00996116">
        <w:t xml:space="preserve"> is indicated.</w:t>
      </w:r>
    </w:p>
    <w:p w14:paraId="7AFE1A9F" w14:textId="3739E3F2" w:rsidR="00877D70" w:rsidRDefault="00A07DD5" w:rsidP="00BC6563">
      <w:pPr>
        <w:pStyle w:val="ListParagraph"/>
        <w:numPr>
          <w:ilvl w:val="0"/>
          <w:numId w:val="9"/>
        </w:numPr>
      </w:pPr>
      <w:r>
        <w:t>Environmental transmission may be possible, especially in outbreak</w:t>
      </w:r>
      <w:r w:rsidR="00877D70">
        <w:t>s</w:t>
      </w:r>
      <w:r>
        <w:t>, but is not thought to be</w:t>
      </w:r>
      <w:r w:rsidR="00000FEC">
        <w:t xml:space="preserve"> a common route of transmission </w:t>
      </w:r>
      <w:hyperlink r:id="rId33" w:history="1">
        <w:r w:rsidR="00000FEC" w:rsidRPr="00000FEC">
          <w:rPr>
            <w:rStyle w:val="Hyperlink"/>
          </w:rPr>
          <w:t xml:space="preserve">(CDC, </w:t>
        </w:r>
        <w:r w:rsidR="006A4B01">
          <w:rPr>
            <w:rStyle w:val="Hyperlink"/>
          </w:rPr>
          <w:t xml:space="preserve">March </w:t>
        </w:r>
        <w:r w:rsidR="00000FEC" w:rsidRPr="00000FEC">
          <w:rPr>
            <w:rStyle w:val="Hyperlink"/>
          </w:rPr>
          <w:t>3, 202</w:t>
        </w:r>
        <w:r w:rsidR="006A4B01">
          <w:rPr>
            <w:rStyle w:val="Hyperlink"/>
          </w:rPr>
          <w:t>3</w:t>
        </w:r>
        <w:r w:rsidR="00000FEC" w:rsidRPr="00000FEC">
          <w:rPr>
            <w:rStyle w:val="Hyperlink"/>
          </w:rPr>
          <w:t>).</w:t>
        </w:r>
      </w:hyperlink>
      <w:r>
        <w:t xml:space="preserve"> </w:t>
      </w:r>
    </w:p>
    <w:p w14:paraId="6E353C5F" w14:textId="79F25102" w:rsidR="00163AF4" w:rsidRDefault="00163AF4" w:rsidP="00BC6563">
      <w:pPr>
        <w:pStyle w:val="ListParagraph"/>
        <w:numPr>
          <w:ilvl w:val="0"/>
          <w:numId w:val="9"/>
        </w:numPr>
      </w:pPr>
      <w:r>
        <w:t>Individuals with GAS infections should not share items contaminated with saliva</w:t>
      </w:r>
      <w:r w:rsidR="00A67767">
        <w:t>,</w:t>
      </w:r>
      <w:r>
        <w:t xml:space="preserve"> such as water bottles </w:t>
      </w:r>
      <w:r w:rsidR="00996116">
        <w:t>or</w:t>
      </w:r>
      <w:r>
        <w:t xml:space="preserve"> drinking glasses </w:t>
      </w:r>
      <w:hyperlink r:id="rId34" w:history="1">
        <w:r>
          <w:rPr>
            <w:rStyle w:val="Hyperlink"/>
          </w:rPr>
          <w:t>(NCCID, No Date)</w:t>
        </w:r>
      </w:hyperlink>
      <w:r>
        <w:t xml:space="preserve">. </w:t>
      </w:r>
    </w:p>
    <w:p w14:paraId="5D837AF2" w14:textId="5F4CD27B" w:rsidR="00BC6563" w:rsidRPr="00200DD2" w:rsidRDefault="00BC6563" w:rsidP="00BC6563">
      <w:pPr>
        <w:pStyle w:val="Heading2"/>
        <w:numPr>
          <w:ilvl w:val="0"/>
          <w:numId w:val="6"/>
        </w:numPr>
      </w:pPr>
      <w:r>
        <w:t>Patient Transport</w:t>
      </w:r>
    </w:p>
    <w:p w14:paraId="29F7ED89" w14:textId="48AA1A90" w:rsidR="00621A7B" w:rsidRDefault="00A07DD5" w:rsidP="00BC6563">
      <w:pPr>
        <w:pStyle w:val="ListParagraph"/>
        <w:numPr>
          <w:ilvl w:val="0"/>
          <w:numId w:val="10"/>
        </w:numPr>
        <w:ind w:left="1440"/>
      </w:pPr>
      <w:r>
        <w:t>Follow precautions for droplet and contact as above</w:t>
      </w:r>
      <w:r w:rsidR="00996116">
        <w:t>.</w:t>
      </w:r>
    </w:p>
    <w:p w14:paraId="3619658B" w14:textId="60711FCD" w:rsidR="00BC6563" w:rsidRPr="00200DD2" w:rsidRDefault="00BC6563" w:rsidP="00BC6563">
      <w:pPr>
        <w:pStyle w:val="Heading2"/>
        <w:numPr>
          <w:ilvl w:val="0"/>
          <w:numId w:val="6"/>
        </w:numPr>
      </w:pPr>
      <w:r>
        <w:t xml:space="preserve"> Air Handling</w:t>
      </w:r>
    </w:p>
    <w:p w14:paraId="37F6CAC1" w14:textId="6E22AEDA" w:rsidR="00D93141" w:rsidRDefault="000F3A30" w:rsidP="00BC6563">
      <w:pPr>
        <w:pStyle w:val="ListParagraph"/>
        <w:numPr>
          <w:ilvl w:val="0"/>
          <w:numId w:val="11"/>
        </w:numPr>
        <w:ind w:left="1440"/>
      </w:pPr>
      <w:r>
        <w:t>No</w:t>
      </w:r>
      <w:r w:rsidR="001B18FF">
        <w:t xml:space="preserve"> special air handling is required</w:t>
      </w:r>
      <w:r w:rsidR="00996116">
        <w:t>,</w:t>
      </w:r>
      <w:r>
        <w:t xml:space="preserve"> although crowded </w:t>
      </w:r>
      <w:r w:rsidR="00702127">
        <w:t>conditions</w:t>
      </w:r>
      <w:r>
        <w:t xml:space="preserve"> such as in daycare or the mi</w:t>
      </w:r>
      <w:r w:rsidR="00B1316D">
        <w:t xml:space="preserve">litary </w:t>
      </w:r>
      <w:r w:rsidR="001B18FF">
        <w:t xml:space="preserve">may </w:t>
      </w:r>
      <w:r w:rsidR="00B1316D">
        <w:t xml:space="preserve">facilitate transmission </w:t>
      </w:r>
      <w:hyperlink r:id="rId35" w:history="1">
        <w:r w:rsidR="00B1316D" w:rsidRPr="00B1316D">
          <w:rPr>
            <w:rStyle w:val="Hyperlink"/>
          </w:rPr>
          <w:t>(CDC, June 27, 2022).</w:t>
        </w:r>
      </w:hyperlink>
    </w:p>
    <w:p w14:paraId="7376E6A5" w14:textId="2519035F" w:rsidR="00BC6563" w:rsidRPr="00200DD2" w:rsidRDefault="00BC6563" w:rsidP="00BC6563">
      <w:pPr>
        <w:pStyle w:val="Heading2"/>
        <w:numPr>
          <w:ilvl w:val="0"/>
          <w:numId w:val="6"/>
        </w:numPr>
      </w:pPr>
      <w:r>
        <w:lastRenderedPageBreak/>
        <w:t>Exposure Monitoring</w:t>
      </w:r>
    </w:p>
    <w:p w14:paraId="41316BAC" w14:textId="7544AEA7" w:rsidR="00961339" w:rsidRDefault="00961339" w:rsidP="00BC6563">
      <w:pPr>
        <w:pStyle w:val="ListParagraph"/>
        <w:numPr>
          <w:ilvl w:val="0"/>
          <w:numId w:val="12"/>
        </w:numPr>
        <w:ind w:left="1440"/>
      </w:pPr>
      <w:r>
        <w:t>Household contacts</w:t>
      </w:r>
      <w:r w:rsidR="00996116">
        <w:t>,</w:t>
      </w:r>
      <w:r>
        <w:t xml:space="preserve"> especially those &gt; 65 years of age or with certain risk factors. Prophylaxis may be indicated for </w:t>
      </w:r>
      <w:r w:rsidR="00996116">
        <w:t>p</w:t>
      </w:r>
      <w:r w:rsidR="00702127">
        <w:t>ostpartum</w:t>
      </w:r>
      <w:r>
        <w:t xml:space="preserve"> or </w:t>
      </w:r>
      <w:r w:rsidR="00702127">
        <w:t>post-surgical</w:t>
      </w:r>
      <w:r>
        <w:t xml:space="preserve"> patients e</w:t>
      </w:r>
      <w:r w:rsidR="00B1316D">
        <w:t>xposed to an index case of GAS</w:t>
      </w:r>
      <w:r>
        <w:t xml:space="preserve"> </w:t>
      </w:r>
      <w:hyperlink r:id="rId36" w:history="1">
        <w:r w:rsidR="004B0405">
          <w:rPr>
            <w:rStyle w:val="Hyperlink"/>
          </w:rPr>
          <w:t>(CID, October 15, 200</w:t>
        </w:r>
        <w:r w:rsidR="00B1316D" w:rsidRPr="00B1316D">
          <w:rPr>
            <w:rStyle w:val="Hyperlink"/>
          </w:rPr>
          <w:t>2).</w:t>
        </w:r>
      </w:hyperlink>
    </w:p>
    <w:p w14:paraId="1DBDB9C4" w14:textId="46485E5E" w:rsidR="00BC6563" w:rsidRPr="00200DD2" w:rsidRDefault="00BC6563" w:rsidP="00BC6563">
      <w:pPr>
        <w:pStyle w:val="Heading2"/>
        <w:numPr>
          <w:ilvl w:val="0"/>
          <w:numId w:val="6"/>
        </w:numPr>
      </w:pPr>
      <w:r>
        <w:t>Census Tracking</w:t>
      </w:r>
    </w:p>
    <w:p w14:paraId="05E4746E" w14:textId="7A5EE82C" w:rsidR="00016028" w:rsidRDefault="00163AF4" w:rsidP="00BC6563">
      <w:pPr>
        <w:pStyle w:val="ListParagraph"/>
        <w:numPr>
          <w:ilvl w:val="0"/>
          <w:numId w:val="13"/>
        </w:numPr>
        <w:ind w:left="1440"/>
      </w:pPr>
      <w:r>
        <w:t>Helpful to trend census, particularly children</w:t>
      </w:r>
      <w:r w:rsidR="00A67767">
        <w:t>,</w:t>
      </w:r>
      <w:r>
        <w:t xml:space="preserve"> to understand resources needed</w:t>
      </w:r>
      <w:r w:rsidR="00A67767">
        <w:t>.</w:t>
      </w:r>
    </w:p>
    <w:p w14:paraId="28534F78" w14:textId="0ADEE109" w:rsidR="00D93141" w:rsidRDefault="00D93141" w:rsidP="00BC6563">
      <w:pPr>
        <w:pStyle w:val="Heading1"/>
      </w:pPr>
      <w:r>
        <w:t>Providing Patient Care</w:t>
      </w:r>
    </w:p>
    <w:p w14:paraId="4F9DE455" w14:textId="5670CE15" w:rsidR="00BC6563" w:rsidRPr="00200DD2" w:rsidRDefault="00BC6563" w:rsidP="00BC6563">
      <w:pPr>
        <w:pStyle w:val="Heading2"/>
        <w:numPr>
          <w:ilvl w:val="0"/>
          <w:numId w:val="14"/>
        </w:numPr>
      </w:pPr>
      <w:r>
        <w:t>High-Risk Procedures</w:t>
      </w:r>
    </w:p>
    <w:p w14:paraId="1F1C6837" w14:textId="25FDC7D6" w:rsidR="007C7BA2" w:rsidRDefault="00961339" w:rsidP="00BC6563">
      <w:pPr>
        <w:pStyle w:val="ListParagraph"/>
        <w:numPr>
          <w:ilvl w:val="0"/>
          <w:numId w:val="15"/>
        </w:numPr>
        <w:ind w:left="1440"/>
      </w:pPr>
      <w:r>
        <w:t>Contact with oral and respiratory secretions, contact with draining wounds</w:t>
      </w:r>
      <w:r w:rsidR="00A67767">
        <w:t>.</w:t>
      </w:r>
    </w:p>
    <w:p w14:paraId="078A76D9" w14:textId="5252F1F2" w:rsidR="00BC6563" w:rsidRPr="00200DD2" w:rsidRDefault="00BC6563" w:rsidP="00BC6563">
      <w:pPr>
        <w:pStyle w:val="Heading2"/>
        <w:numPr>
          <w:ilvl w:val="0"/>
          <w:numId w:val="14"/>
        </w:numPr>
      </w:pPr>
      <w:r>
        <w:t>Facility Operations</w:t>
      </w:r>
    </w:p>
    <w:p w14:paraId="0F80C20B" w14:textId="6968F654" w:rsidR="007C7BA2" w:rsidRDefault="00F91295" w:rsidP="00F76139">
      <w:pPr>
        <w:pStyle w:val="ListParagraph"/>
        <w:numPr>
          <w:ilvl w:val="1"/>
          <w:numId w:val="14"/>
        </w:numPr>
        <w:ind w:left="1350" w:hanging="270"/>
      </w:pPr>
      <w:r>
        <w:t>Follow facility processes</w:t>
      </w:r>
      <w:r w:rsidR="001B18FF">
        <w:t xml:space="preserve"> for departments such as linen and laundry, dietary</w:t>
      </w:r>
      <w:r w:rsidR="00F76139">
        <w:t>,</w:t>
      </w:r>
      <w:r w:rsidR="001B18FF">
        <w:t xml:space="preserve"> and medical gasses</w:t>
      </w:r>
      <w:r w:rsidR="00402EBE">
        <w:t>.</w:t>
      </w:r>
    </w:p>
    <w:p w14:paraId="5ADA5630" w14:textId="4D77B110" w:rsidR="00BC6563" w:rsidRPr="00200DD2" w:rsidRDefault="00BC6563" w:rsidP="00BC6563">
      <w:pPr>
        <w:pStyle w:val="Heading2"/>
        <w:numPr>
          <w:ilvl w:val="0"/>
          <w:numId w:val="14"/>
        </w:numPr>
      </w:pPr>
      <w:r>
        <w:t>Visitation Management</w:t>
      </w:r>
    </w:p>
    <w:p w14:paraId="59A0E694" w14:textId="4B5458D7" w:rsidR="007C7BA2" w:rsidRDefault="00F91295" w:rsidP="00F76139">
      <w:pPr>
        <w:pStyle w:val="ListParagraph"/>
        <w:numPr>
          <w:ilvl w:val="0"/>
          <w:numId w:val="17"/>
        </w:numPr>
        <w:ind w:left="1440"/>
      </w:pPr>
      <w:r>
        <w:t>Follow facility processes</w:t>
      </w:r>
      <w:r w:rsidR="00402EBE">
        <w:t>.</w:t>
      </w:r>
    </w:p>
    <w:p w14:paraId="606C987C" w14:textId="5805F384" w:rsidR="00043623" w:rsidRPr="00200DD2" w:rsidRDefault="00043623" w:rsidP="00043623">
      <w:pPr>
        <w:pStyle w:val="Heading2"/>
        <w:numPr>
          <w:ilvl w:val="0"/>
          <w:numId w:val="14"/>
        </w:numPr>
      </w:pPr>
      <w:r>
        <w:t>Infection Prevention Staffing Considerations</w:t>
      </w:r>
    </w:p>
    <w:p w14:paraId="0CBA99A7" w14:textId="7DE10346" w:rsidR="009136AF" w:rsidRDefault="00F91295" w:rsidP="00043623">
      <w:pPr>
        <w:pStyle w:val="ListParagraph"/>
        <w:numPr>
          <w:ilvl w:val="0"/>
          <w:numId w:val="18"/>
        </w:numPr>
        <w:ind w:left="1440"/>
      </w:pPr>
      <w:r>
        <w:t>Follow facility processes</w:t>
      </w:r>
      <w:r w:rsidR="00402EBE">
        <w:t>.</w:t>
      </w:r>
    </w:p>
    <w:p w14:paraId="644FEBD9" w14:textId="3C8475EA" w:rsidR="00043623" w:rsidRPr="00200DD2" w:rsidRDefault="00043623" w:rsidP="00043623">
      <w:pPr>
        <w:pStyle w:val="Heading2"/>
        <w:numPr>
          <w:ilvl w:val="0"/>
          <w:numId w:val="14"/>
        </w:numPr>
      </w:pPr>
      <w:r>
        <w:t>Post</w:t>
      </w:r>
      <w:r w:rsidR="00996116">
        <w:t>m</w:t>
      </w:r>
      <w:r>
        <w:t>ortem</w:t>
      </w:r>
    </w:p>
    <w:p w14:paraId="5E60A94F" w14:textId="3C478619" w:rsidR="00702127" w:rsidRDefault="00F91295" w:rsidP="00043623">
      <w:pPr>
        <w:pStyle w:val="ListParagraph"/>
        <w:numPr>
          <w:ilvl w:val="0"/>
          <w:numId w:val="19"/>
        </w:numPr>
        <w:ind w:left="1440"/>
      </w:pPr>
      <w:r>
        <w:t>Follow facility processes</w:t>
      </w:r>
      <w:r w:rsidR="00402EBE">
        <w:t>.</w:t>
      </w:r>
    </w:p>
    <w:p w14:paraId="7D46C8AA" w14:textId="3D37DB00" w:rsidR="00C2456A" w:rsidRDefault="00C2456A" w:rsidP="00043623">
      <w:pPr>
        <w:pStyle w:val="Heading1"/>
      </w:pPr>
      <w:r>
        <w:t>Patient Discharge</w:t>
      </w:r>
      <w:r w:rsidR="00D813FC">
        <w:t xml:space="preserve"> </w:t>
      </w:r>
    </w:p>
    <w:p w14:paraId="199C6FB1" w14:textId="22C7ADE0" w:rsidR="00043623" w:rsidRPr="00200DD2" w:rsidRDefault="00043623" w:rsidP="008E150A">
      <w:pPr>
        <w:pStyle w:val="Heading2"/>
        <w:numPr>
          <w:ilvl w:val="0"/>
          <w:numId w:val="30"/>
        </w:numPr>
      </w:pPr>
      <w:r>
        <w:t>Communication Considerations</w:t>
      </w:r>
    </w:p>
    <w:p w14:paraId="6E6CDACF" w14:textId="2A849934" w:rsidR="00F863C3" w:rsidRDefault="00F863C3" w:rsidP="00043623">
      <w:pPr>
        <w:pStyle w:val="ListParagraph"/>
        <w:numPr>
          <w:ilvl w:val="0"/>
          <w:numId w:val="20"/>
        </w:numPr>
      </w:pPr>
      <w:r w:rsidRPr="00F863C3">
        <w:t>Notify appropriate local or state public health departments as soon as possible about unusually aggressive or severe iGAS cases affecting children younger than 18 years of age or clusters of iGAS infections in persons of any age</w:t>
      </w:r>
      <w:r>
        <w:t xml:space="preserve"> </w:t>
      </w:r>
      <w:hyperlink r:id="rId37" w:history="1">
        <w:r w:rsidRPr="00F863C3">
          <w:rPr>
            <w:rStyle w:val="Hyperlink"/>
          </w:rPr>
          <w:t xml:space="preserve">(CDC, </w:t>
        </w:r>
        <w:r w:rsidR="002C45BE">
          <w:rPr>
            <w:rStyle w:val="Hyperlink"/>
          </w:rPr>
          <w:t>February</w:t>
        </w:r>
        <w:r w:rsidRPr="00F863C3">
          <w:rPr>
            <w:rStyle w:val="Hyperlink"/>
          </w:rPr>
          <w:t xml:space="preserve"> 2, 202</w:t>
        </w:r>
        <w:r w:rsidR="002C45BE">
          <w:rPr>
            <w:rStyle w:val="Hyperlink"/>
          </w:rPr>
          <w:t>3</w:t>
        </w:r>
        <w:r w:rsidRPr="00F863C3">
          <w:rPr>
            <w:rStyle w:val="Hyperlink"/>
          </w:rPr>
          <w:t>).</w:t>
        </w:r>
      </w:hyperlink>
    </w:p>
    <w:p w14:paraId="04DEE841" w14:textId="7106C821" w:rsidR="008E150A" w:rsidRDefault="001A1E4A" w:rsidP="008E150A">
      <w:pPr>
        <w:pStyle w:val="ListParagraph"/>
        <w:numPr>
          <w:ilvl w:val="0"/>
          <w:numId w:val="20"/>
        </w:numPr>
      </w:pPr>
      <w:r>
        <w:t>Provide c</w:t>
      </w:r>
      <w:r w:rsidR="00902155">
        <w:t>li</w:t>
      </w:r>
      <w:r w:rsidR="00D13CC2">
        <w:t>nical update per facility policy</w:t>
      </w:r>
      <w:r>
        <w:t>.</w:t>
      </w:r>
    </w:p>
    <w:p w14:paraId="52982058" w14:textId="365D3652" w:rsidR="00043623" w:rsidRPr="00200DD2" w:rsidRDefault="00043623" w:rsidP="008E150A">
      <w:pPr>
        <w:pStyle w:val="Heading2"/>
        <w:numPr>
          <w:ilvl w:val="0"/>
          <w:numId w:val="30"/>
        </w:numPr>
      </w:pPr>
      <w:r>
        <w:t>Patient Discharge Information</w:t>
      </w:r>
    </w:p>
    <w:p w14:paraId="5A6F2C6F" w14:textId="6D14F986" w:rsidR="001470CF" w:rsidRDefault="001470CF" w:rsidP="00043623">
      <w:pPr>
        <w:pStyle w:val="ListParagraph"/>
        <w:numPr>
          <w:ilvl w:val="0"/>
          <w:numId w:val="21"/>
        </w:numPr>
      </w:pPr>
      <w:r w:rsidRPr="001470CF">
        <w:t>The spread of group A strep can be reduced by standard infection control practices, including good hand hygiene and respiratory etiquette (e.g.,</w:t>
      </w:r>
      <w:r>
        <w:t xml:space="preserve"> covering your cough or sneeze) </w:t>
      </w:r>
      <w:hyperlink r:id="rId38" w:history="1">
        <w:r w:rsidRPr="00F863C3">
          <w:rPr>
            <w:rStyle w:val="Hyperlink"/>
          </w:rPr>
          <w:t xml:space="preserve">(CDC, </w:t>
        </w:r>
        <w:r w:rsidR="002C45BE">
          <w:rPr>
            <w:rStyle w:val="Hyperlink"/>
          </w:rPr>
          <w:t>February 2, 2023</w:t>
        </w:r>
        <w:r w:rsidRPr="00F863C3">
          <w:rPr>
            <w:rStyle w:val="Hyperlink"/>
          </w:rPr>
          <w:t>).</w:t>
        </w:r>
      </w:hyperlink>
      <w:r w:rsidR="001A1E4A">
        <w:rPr>
          <w:rStyle w:val="Hyperlink"/>
        </w:rPr>
        <w:t xml:space="preserve"> </w:t>
      </w:r>
      <w:r w:rsidR="001A1E4A">
        <w:rPr>
          <w:rStyle w:val="Hyperlink"/>
          <w:u w:val="none"/>
        </w:rPr>
        <w:t xml:space="preserve"> </w:t>
      </w:r>
      <w:r w:rsidR="001A1E4A">
        <w:rPr>
          <w:rStyle w:val="Hyperlink"/>
          <w:color w:val="auto"/>
          <w:u w:val="none"/>
        </w:rPr>
        <w:t>Refer to:</w:t>
      </w:r>
    </w:p>
    <w:p w14:paraId="02607BEC" w14:textId="147EADA0" w:rsidR="001470CF" w:rsidRDefault="001470CF" w:rsidP="00043623">
      <w:pPr>
        <w:pStyle w:val="ListParagraph"/>
        <w:numPr>
          <w:ilvl w:val="2"/>
          <w:numId w:val="1"/>
        </w:numPr>
      </w:pPr>
      <w:r>
        <w:t xml:space="preserve">Hand Hygiene Frequently Asked Questions </w:t>
      </w:r>
      <w:hyperlink r:id="rId39" w:history="1">
        <w:r w:rsidRPr="001470CF">
          <w:rPr>
            <w:rStyle w:val="Hyperlink"/>
          </w:rPr>
          <w:t>(CDC, November 4, 2022).</w:t>
        </w:r>
      </w:hyperlink>
    </w:p>
    <w:p w14:paraId="5AD7998E" w14:textId="462FC397" w:rsidR="001470CF" w:rsidRDefault="001470CF" w:rsidP="00043623">
      <w:pPr>
        <w:pStyle w:val="ListParagraph"/>
        <w:numPr>
          <w:ilvl w:val="2"/>
          <w:numId w:val="1"/>
        </w:numPr>
      </w:pPr>
      <w:r>
        <w:t xml:space="preserve">Respiratory Hygiene Resources </w:t>
      </w:r>
      <w:hyperlink r:id="rId40" w:history="1">
        <w:r w:rsidRPr="001470CF">
          <w:rPr>
            <w:rStyle w:val="Hyperlink"/>
          </w:rPr>
          <w:t>(CDC, August 2</w:t>
        </w:r>
        <w:r w:rsidR="002C45BE">
          <w:rPr>
            <w:rStyle w:val="Hyperlink"/>
          </w:rPr>
          <w:t>6</w:t>
        </w:r>
        <w:r w:rsidRPr="001470CF">
          <w:rPr>
            <w:rStyle w:val="Hyperlink"/>
          </w:rPr>
          <w:t>, 2021).</w:t>
        </w:r>
      </w:hyperlink>
    </w:p>
    <w:p w14:paraId="66A1E123" w14:textId="1374327F" w:rsidR="001470CF" w:rsidRDefault="001470CF" w:rsidP="00043623">
      <w:pPr>
        <w:pStyle w:val="ListParagraph"/>
        <w:numPr>
          <w:ilvl w:val="0"/>
          <w:numId w:val="21"/>
        </w:numPr>
      </w:pPr>
      <w:r w:rsidRPr="001470CF">
        <w:t xml:space="preserve">Screening and antibiotic prophylaxis for household contacts of </w:t>
      </w:r>
      <w:r>
        <w:t>iGAS</w:t>
      </w:r>
      <w:r w:rsidRPr="001470CF">
        <w:t xml:space="preserve"> patients is not recommended for household members under age 65 years, as the risk of secondary cas</w:t>
      </w:r>
      <w:r w:rsidR="00F24AFC">
        <w:t>es in these individuals is low.</w:t>
      </w:r>
      <w:r w:rsidRPr="001470CF">
        <w:t xml:space="preserve"> However, the risk of a secondary case in the 30 days following exposure to the index case is highest among household contacts who are 65 years of age or older, and thus, antibiotic chemoprophylaxis should be considered for househo</w:t>
      </w:r>
      <w:r w:rsidR="00F24AFC">
        <w:t xml:space="preserve">ld contacts </w:t>
      </w:r>
      <w:r w:rsidR="001A1E4A">
        <w:t xml:space="preserve">over </w:t>
      </w:r>
      <w:r w:rsidR="00F24AFC">
        <w:t xml:space="preserve">65 </w:t>
      </w:r>
      <w:hyperlink r:id="rId41" w:history="1">
        <w:r w:rsidR="00F24AFC" w:rsidRPr="00F863C3">
          <w:rPr>
            <w:rStyle w:val="Hyperlink"/>
          </w:rPr>
          <w:t xml:space="preserve">(CDC, </w:t>
        </w:r>
        <w:r w:rsidR="002C45BE">
          <w:rPr>
            <w:rStyle w:val="Hyperlink"/>
          </w:rPr>
          <w:t>February 2, 2023</w:t>
        </w:r>
        <w:r w:rsidR="00F24AFC" w:rsidRPr="00F863C3">
          <w:rPr>
            <w:rStyle w:val="Hyperlink"/>
          </w:rPr>
          <w:t>).</w:t>
        </w:r>
      </w:hyperlink>
    </w:p>
    <w:p w14:paraId="2913D6D1" w14:textId="39FBC228" w:rsidR="00C2456A" w:rsidRDefault="00D13CC2" w:rsidP="00043623">
      <w:pPr>
        <w:pStyle w:val="ListParagraph"/>
        <w:numPr>
          <w:ilvl w:val="0"/>
          <w:numId w:val="21"/>
        </w:numPr>
      </w:pPr>
      <w:r>
        <w:t>Patient Discharge Education</w:t>
      </w:r>
    </w:p>
    <w:p w14:paraId="0904BD9F" w14:textId="7A7DD599" w:rsidR="00F24AFC" w:rsidRDefault="00F24AFC" w:rsidP="00F24AFC">
      <w:pPr>
        <w:pStyle w:val="ListParagraph"/>
        <w:numPr>
          <w:ilvl w:val="2"/>
          <w:numId w:val="1"/>
        </w:numPr>
      </w:pPr>
      <w:r>
        <w:t xml:space="preserve">Learn about the symptoms for </w:t>
      </w:r>
      <w:hyperlink r:id="rId42" w:history="1">
        <w:r w:rsidRPr="00F24AFC">
          <w:rPr>
            <w:rStyle w:val="Hyperlink"/>
          </w:rPr>
          <w:t>necrotizing fasciitis</w:t>
        </w:r>
      </w:hyperlink>
      <w:r>
        <w:t xml:space="preserve">, </w:t>
      </w:r>
      <w:hyperlink r:id="rId43" w:history="1">
        <w:r w:rsidRPr="00F24AFC">
          <w:rPr>
            <w:rStyle w:val="Hyperlink"/>
          </w:rPr>
          <w:t>streptococcal toxic shock syndrome</w:t>
        </w:r>
      </w:hyperlink>
      <w:r>
        <w:t xml:space="preserve">, and </w:t>
      </w:r>
      <w:hyperlink r:id="rId44" w:history="1">
        <w:r w:rsidRPr="00F24AFC">
          <w:rPr>
            <w:rStyle w:val="Hyperlink"/>
          </w:rPr>
          <w:t>cellulitis</w:t>
        </w:r>
      </w:hyperlink>
      <w:r>
        <w:t xml:space="preserve"> </w:t>
      </w:r>
      <w:hyperlink r:id="rId45" w:history="1">
        <w:r w:rsidRPr="00F863C3">
          <w:rPr>
            <w:rStyle w:val="Hyperlink"/>
          </w:rPr>
          <w:t xml:space="preserve">(CDC, </w:t>
        </w:r>
        <w:r w:rsidR="002C45BE">
          <w:rPr>
            <w:rStyle w:val="Hyperlink"/>
          </w:rPr>
          <w:t>February</w:t>
        </w:r>
        <w:r w:rsidRPr="00F863C3">
          <w:rPr>
            <w:rStyle w:val="Hyperlink"/>
          </w:rPr>
          <w:t xml:space="preserve"> 2, 202</w:t>
        </w:r>
        <w:r w:rsidR="002C45BE">
          <w:rPr>
            <w:rStyle w:val="Hyperlink"/>
          </w:rPr>
          <w:t>3</w:t>
        </w:r>
        <w:r w:rsidRPr="00F863C3">
          <w:rPr>
            <w:rStyle w:val="Hyperlink"/>
          </w:rPr>
          <w:t>).</w:t>
        </w:r>
      </w:hyperlink>
    </w:p>
    <w:p w14:paraId="15EB3E54" w14:textId="0529C464" w:rsidR="00F24AFC" w:rsidRDefault="00F24AFC" w:rsidP="00F24AFC">
      <w:pPr>
        <w:pStyle w:val="ListParagraph"/>
        <w:numPr>
          <w:ilvl w:val="2"/>
          <w:numId w:val="1"/>
        </w:numPr>
      </w:pPr>
      <w:r>
        <w:t xml:space="preserve">Seek medical care quickly if </w:t>
      </w:r>
      <w:r w:rsidR="001A1E4A">
        <w:t xml:space="preserve">it’s believed that </w:t>
      </w:r>
      <w:r w:rsidR="00547EB2">
        <w:t xml:space="preserve">the individual or </w:t>
      </w:r>
      <w:r>
        <w:t xml:space="preserve">a household contact has one of these infections </w:t>
      </w:r>
      <w:hyperlink r:id="rId46" w:history="1">
        <w:r w:rsidRPr="00F863C3">
          <w:rPr>
            <w:rStyle w:val="Hyperlink"/>
          </w:rPr>
          <w:t xml:space="preserve">(CDC, </w:t>
        </w:r>
        <w:r w:rsidR="002C45BE">
          <w:rPr>
            <w:rStyle w:val="Hyperlink"/>
          </w:rPr>
          <w:t>February 2, 2023</w:t>
        </w:r>
        <w:r w:rsidRPr="00F863C3">
          <w:rPr>
            <w:rStyle w:val="Hyperlink"/>
          </w:rPr>
          <w:t>).</w:t>
        </w:r>
      </w:hyperlink>
    </w:p>
    <w:p w14:paraId="04B404BA" w14:textId="1A5EB436" w:rsidR="00F24AFC" w:rsidRPr="00E5624B" w:rsidRDefault="00F24AFC" w:rsidP="00F24AFC">
      <w:pPr>
        <w:pStyle w:val="ListParagraph"/>
        <w:numPr>
          <w:ilvl w:val="2"/>
          <w:numId w:val="1"/>
        </w:numPr>
        <w:rPr>
          <w:rStyle w:val="Hyperlink"/>
          <w:color w:val="auto"/>
          <w:u w:val="none"/>
        </w:rPr>
      </w:pPr>
      <w:r>
        <w:t xml:space="preserve">Make sure everyone in the household is up to date with flu and chickenpox vaccines, since getting these infections can increase risk for getting an iGAS infection </w:t>
      </w:r>
      <w:hyperlink r:id="rId47" w:history="1">
        <w:r w:rsidRPr="00F863C3">
          <w:rPr>
            <w:rStyle w:val="Hyperlink"/>
          </w:rPr>
          <w:t xml:space="preserve">(CDC, </w:t>
        </w:r>
        <w:r w:rsidR="002C45BE">
          <w:rPr>
            <w:rStyle w:val="Hyperlink"/>
          </w:rPr>
          <w:t>February 2, 2023</w:t>
        </w:r>
        <w:r w:rsidRPr="00F863C3">
          <w:rPr>
            <w:rStyle w:val="Hyperlink"/>
          </w:rPr>
          <w:t>).</w:t>
        </w:r>
      </w:hyperlink>
    </w:p>
    <w:p w14:paraId="46EA6E8E" w14:textId="77777777" w:rsidR="00E5624B" w:rsidRDefault="00E5624B" w:rsidP="00E5624B">
      <w:pPr>
        <w:pStyle w:val="ListParagraph"/>
        <w:ind w:left="2160"/>
      </w:pPr>
    </w:p>
    <w:p w14:paraId="7924E989" w14:textId="705D052D" w:rsidR="00621A7B" w:rsidRDefault="00043623" w:rsidP="00043623">
      <w:pPr>
        <w:pStyle w:val="Heading1"/>
      </w:pPr>
      <w:r>
        <w:t>Occupational Health</w:t>
      </w:r>
    </w:p>
    <w:p w14:paraId="2FCC235C" w14:textId="77777777" w:rsidR="00043623" w:rsidRDefault="00043623" w:rsidP="00043623">
      <w:pPr>
        <w:pStyle w:val="Heading2"/>
        <w:numPr>
          <w:ilvl w:val="0"/>
          <w:numId w:val="22"/>
        </w:numPr>
      </w:pPr>
      <w:r>
        <w:t>Occupational Exposure Definition</w:t>
      </w:r>
    </w:p>
    <w:p w14:paraId="75814C2C" w14:textId="2728D3F5" w:rsidR="0039771D" w:rsidRDefault="007446E9" w:rsidP="00043623">
      <w:pPr>
        <w:pStyle w:val="ListParagraph"/>
        <w:numPr>
          <w:ilvl w:val="0"/>
          <w:numId w:val="23"/>
        </w:numPr>
        <w:ind w:left="1440"/>
      </w:pPr>
      <w:r>
        <w:t>Work with local health department for a location</w:t>
      </w:r>
      <w:r w:rsidR="00547EB2">
        <w:t>-</w:t>
      </w:r>
      <w:r>
        <w:t>specific definition.  Potential exposure definitions to consider:</w:t>
      </w:r>
    </w:p>
    <w:p w14:paraId="7FCCB403" w14:textId="734E0CD8" w:rsidR="007446E9" w:rsidRDefault="007446E9" w:rsidP="00043623">
      <w:pPr>
        <w:pStyle w:val="ListParagraph"/>
        <w:numPr>
          <w:ilvl w:val="2"/>
          <w:numId w:val="1"/>
        </w:numPr>
      </w:pPr>
      <w:r w:rsidRPr="007446E9">
        <w:t>Unprotect</w:t>
      </w:r>
      <w:r>
        <w:t xml:space="preserve">ed exposure or contact with infected wounds, blood, </w:t>
      </w:r>
      <w:r w:rsidRPr="007446E9">
        <w:t xml:space="preserve">or respiratory droplets of a confirmed </w:t>
      </w:r>
      <w:r>
        <w:t>iGAS</w:t>
      </w:r>
      <w:r w:rsidRPr="007446E9">
        <w:t xml:space="preserve"> case. Unprotected exposure is defined as without proper personal protective equipment (gown, gloves, and mask) and ineffective hand hygiene while performing patient care. Exposure can be confirmed after identifying employee activity and PPE use during patient care.</w:t>
      </w:r>
    </w:p>
    <w:p w14:paraId="5A3D12A9" w14:textId="65C6E5F7" w:rsidR="002C11FA" w:rsidRDefault="002C11FA" w:rsidP="002C11FA">
      <w:pPr>
        <w:pStyle w:val="Heading2"/>
        <w:numPr>
          <w:ilvl w:val="0"/>
          <w:numId w:val="22"/>
        </w:numPr>
      </w:pPr>
      <w:r>
        <w:t>Pre</w:t>
      </w:r>
      <w:r w:rsidR="00996116">
        <w:t>-</w:t>
      </w:r>
      <w:r>
        <w:t xml:space="preserve"> and Post</w:t>
      </w:r>
      <w:r w:rsidR="00996116">
        <w:t>-</w:t>
      </w:r>
      <w:r>
        <w:t>Exposure Information</w:t>
      </w:r>
    </w:p>
    <w:p w14:paraId="4B24A42F" w14:textId="0F5617A1" w:rsidR="00F17C4F" w:rsidRDefault="00F17C4F" w:rsidP="002C11FA">
      <w:pPr>
        <w:pStyle w:val="ListParagraph"/>
        <w:numPr>
          <w:ilvl w:val="0"/>
          <w:numId w:val="24"/>
        </w:numPr>
      </w:pPr>
      <w:r w:rsidRPr="00F17C4F">
        <w:t>Post</w:t>
      </w:r>
      <w:r w:rsidR="00CB07FE">
        <w:t>-</w:t>
      </w:r>
      <w:r w:rsidRPr="00F17C4F">
        <w:t xml:space="preserve">exposure prophylaxis </w:t>
      </w:r>
      <w:r>
        <w:t>is</w:t>
      </w:r>
      <w:r w:rsidRPr="00F17C4F">
        <w:t xml:space="preserve"> not necessary for healthcare personnel who have an exposure to group A </w:t>
      </w:r>
      <w:r w:rsidRPr="00547EB2">
        <w:rPr>
          <w:i/>
          <w:iCs/>
        </w:rPr>
        <w:t>Streptococcus</w:t>
      </w:r>
      <w:r w:rsidR="009328A7">
        <w:t xml:space="preserve"> </w:t>
      </w:r>
      <w:hyperlink r:id="rId48" w:anchor="print" w:history="1">
        <w:r w:rsidR="009328A7" w:rsidRPr="009328A7">
          <w:rPr>
            <w:rStyle w:val="Hyperlink"/>
          </w:rPr>
          <w:t>(CDC, November 22, 2022)</w:t>
        </w:r>
        <w:r w:rsidRPr="009328A7">
          <w:rPr>
            <w:rStyle w:val="Hyperlink"/>
          </w:rPr>
          <w:t>.</w:t>
        </w:r>
      </w:hyperlink>
    </w:p>
    <w:p w14:paraId="1F8B35E8" w14:textId="77777777" w:rsidR="00F17C4F" w:rsidRPr="00F17C4F" w:rsidRDefault="00F17C4F" w:rsidP="002C11FA">
      <w:pPr>
        <w:pStyle w:val="ListParagraph"/>
        <w:numPr>
          <w:ilvl w:val="0"/>
          <w:numId w:val="24"/>
        </w:numPr>
      </w:pPr>
      <w:r w:rsidRPr="00F17C4F">
        <w:t xml:space="preserve">For healthcare personnel with group A </w:t>
      </w:r>
      <w:r w:rsidRPr="00547EB2">
        <w:rPr>
          <w:i/>
          <w:iCs/>
        </w:rPr>
        <w:t>Streptococcus</w:t>
      </w:r>
      <w:r w:rsidRPr="00F17C4F">
        <w:t xml:space="preserve"> colonization who are epidemiologically linked to transmission of the organism in the healthcare setting:</w:t>
      </w:r>
    </w:p>
    <w:p w14:paraId="744B163B" w14:textId="77777777" w:rsidR="00F17C4F" w:rsidRDefault="00F17C4F" w:rsidP="00043623">
      <w:pPr>
        <w:pStyle w:val="ListParagraph"/>
        <w:numPr>
          <w:ilvl w:val="2"/>
          <w:numId w:val="1"/>
        </w:numPr>
      </w:pPr>
      <w:r>
        <w:t>Administer chemoprophylaxis in accordance with CDC recommendations AND</w:t>
      </w:r>
    </w:p>
    <w:p w14:paraId="7FA0D688" w14:textId="77777777" w:rsidR="00F17C4F" w:rsidRDefault="00F17C4F" w:rsidP="00043623">
      <w:pPr>
        <w:pStyle w:val="ListParagraph"/>
        <w:numPr>
          <w:ilvl w:val="2"/>
          <w:numId w:val="1"/>
        </w:numPr>
      </w:pPr>
      <w:r>
        <w:t>Exclude from work until 24 hours after the start of effective antimicrobial therapy AND</w:t>
      </w:r>
    </w:p>
    <w:p w14:paraId="793227D1" w14:textId="684E8B29" w:rsidR="00F17C4F" w:rsidRDefault="00F17C4F" w:rsidP="00043623">
      <w:pPr>
        <w:pStyle w:val="ListParagraph"/>
        <w:numPr>
          <w:ilvl w:val="2"/>
          <w:numId w:val="1"/>
        </w:numPr>
      </w:pPr>
      <w:r>
        <w:t xml:space="preserve">Obtain a sample from the affected site for group A </w:t>
      </w:r>
      <w:r w:rsidRPr="00547EB2">
        <w:rPr>
          <w:i/>
          <w:iCs/>
        </w:rPr>
        <w:t>Streptococcus</w:t>
      </w:r>
      <w:r>
        <w:t xml:space="preserve"> testing 7 to 10 days after completion of chemoprophylaxis; if positive, repeat administration of chemoprophylaxis and again exclude from work until 24 hours after the start of </w:t>
      </w:r>
      <w:r w:rsidR="009328A7">
        <w:t xml:space="preserve">effective antimicrobial therapy </w:t>
      </w:r>
      <w:hyperlink r:id="rId49" w:anchor="print" w:history="1">
        <w:r w:rsidR="009328A7" w:rsidRPr="009328A7">
          <w:rPr>
            <w:rStyle w:val="Hyperlink"/>
          </w:rPr>
          <w:t>(CDC, November 22, 2022).</w:t>
        </w:r>
      </w:hyperlink>
    </w:p>
    <w:p w14:paraId="218EC7F1" w14:textId="7F4436A9" w:rsidR="002C11FA" w:rsidRDefault="002C11FA" w:rsidP="002C11FA">
      <w:pPr>
        <w:pStyle w:val="Heading2"/>
        <w:numPr>
          <w:ilvl w:val="0"/>
          <w:numId w:val="22"/>
        </w:numPr>
      </w:pPr>
      <w:r>
        <w:t>Employee Furlough</w:t>
      </w:r>
    </w:p>
    <w:p w14:paraId="67B13673" w14:textId="58026B13" w:rsidR="00F17C4F" w:rsidRDefault="00F17C4F" w:rsidP="002C11FA">
      <w:pPr>
        <w:pStyle w:val="ListParagraph"/>
        <w:numPr>
          <w:ilvl w:val="0"/>
          <w:numId w:val="25"/>
        </w:numPr>
        <w:ind w:left="1440"/>
      </w:pPr>
      <w:r>
        <w:t>W</w:t>
      </w:r>
      <w:r w:rsidRPr="00F17C4F">
        <w:t xml:space="preserve">ork restrictions are not necessary for healthcare personnel who have an </w:t>
      </w:r>
      <w:r w:rsidRPr="00F17C4F">
        <w:rPr>
          <w:u w:val="single"/>
        </w:rPr>
        <w:t>exposure</w:t>
      </w:r>
      <w:r w:rsidR="009328A7">
        <w:t xml:space="preserve"> to group A </w:t>
      </w:r>
      <w:r w:rsidR="009328A7" w:rsidRPr="00547EB2">
        <w:rPr>
          <w:i/>
          <w:iCs/>
        </w:rPr>
        <w:t>Streptococcus</w:t>
      </w:r>
      <w:r w:rsidR="009328A7">
        <w:t xml:space="preserve"> </w:t>
      </w:r>
      <w:hyperlink r:id="rId50" w:anchor="print" w:history="1">
        <w:r w:rsidR="009328A7" w:rsidRPr="009328A7">
          <w:rPr>
            <w:rStyle w:val="Hyperlink"/>
          </w:rPr>
          <w:t>(CDC, November 22, 2022).</w:t>
        </w:r>
      </w:hyperlink>
    </w:p>
    <w:p w14:paraId="2A02569E" w14:textId="74A26176" w:rsidR="002C11FA" w:rsidRDefault="002C11FA" w:rsidP="002C11FA">
      <w:pPr>
        <w:pStyle w:val="Heading2"/>
        <w:numPr>
          <w:ilvl w:val="0"/>
          <w:numId w:val="22"/>
        </w:numPr>
      </w:pPr>
      <w:r>
        <w:t>Return to Work Guidance</w:t>
      </w:r>
    </w:p>
    <w:p w14:paraId="48B91EA0" w14:textId="228A659B" w:rsidR="00F17C4F" w:rsidRDefault="00F17C4F" w:rsidP="002C11FA">
      <w:pPr>
        <w:pStyle w:val="ListParagraph"/>
        <w:numPr>
          <w:ilvl w:val="0"/>
          <w:numId w:val="26"/>
        </w:numPr>
      </w:pPr>
      <w:r w:rsidRPr="00F17C4F">
        <w:t xml:space="preserve">Work restrictions are not necessary for healthcare personnel with known or suspected group A </w:t>
      </w:r>
      <w:r w:rsidRPr="00547EB2">
        <w:rPr>
          <w:i/>
          <w:iCs/>
        </w:rPr>
        <w:t>Streptococcus</w:t>
      </w:r>
      <w:r w:rsidRPr="00F17C4F">
        <w:t xml:space="preserve"> </w:t>
      </w:r>
      <w:r w:rsidRPr="00F17C4F">
        <w:rPr>
          <w:u w:val="single"/>
        </w:rPr>
        <w:t>colonization</w:t>
      </w:r>
      <w:r w:rsidRPr="00F17C4F">
        <w:t>, unless they are epidemiologically linked to transmission of the org</w:t>
      </w:r>
      <w:r w:rsidR="009328A7">
        <w:t xml:space="preserve">anism in the healthcare setting </w:t>
      </w:r>
      <w:hyperlink r:id="rId51" w:anchor="print" w:history="1">
        <w:r w:rsidR="009328A7" w:rsidRPr="009328A7">
          <w:rPr>
            <w:rStyle w:val="Hyperlink"/>
          </w:rPr>
          <w:t>(CDC, November 22, 2022).</w:t>
        </w:r>
      </w:hyperlink>
    </w:p>
    <w:p w14:paraId="553FC936" w14:textId="172EA8E7" w:rsidR="00F17C4F" w:rsidRDefault="00F17C4F" w:rsidP="002C11FA">
      <w:pPr>
        <w:pStyle w:val="ListParagraph"/>
        <w:numPr>
          <w:ilvl w:val="0"/>
          <w:numId w:val="26"/>
        </w:numPr>
      </w:pPr>
      <w:r w:rsidRPr="00F17C4F">
        <w:t xml:space="preserve">For healthcare personnel with known or suspected group A </w:t>
      </w:r>
      <w:r w:rsidRPr="00547EB2">
        <w:rPr>
          <w:i/>
          <w:iCs/>
        </w:rPr>
        <w:t xml:space="preserve">Streptococcus </w:t>
      </w:r>
      <w:r w:rsidRPr="00F17C4F">
        <w:rPr>
          <w:u w:val="single"/>
        </w:rPr>
        <w:t>infection</w:t>
      </w:r>
      <w:r w:rsidRPr="00F17C4F">
        <w:t xml:space="preserve">, obtain a sample from the infected site, if possible, for group A </w:t>
      </w:r>
      <w:r w:rsidRPr="00547EB2">
        <w:rPr>
          <w:i/>
          <w:iCs/>
        </w:rPr>
        <w:t>Streptococcus</w:t>
      </w:r>
      <w:r w:rsidRPr="00F17C4F">
        <w:t xml:space="preserve"> and exclude from work until group A </w:t>
      </w:r>
      <w:r w:rsidRPr="00547EB2">
        <w:rPr>
          <w:i/>
          <w:iCs/>
        </w:rPr>
        <w:t>Streptococcus</w:t>
      </w:r>
      <w:r w:rsidRPr="00F17C4F">
        <w:t xml:space="preserve"> infection is ruled out, or until 24 hours after the start of effective antimicrobial therapy, provided that any draining skin lesions can be a</w:t>
      </w:r>
      <w:r w:rsidR="009328A7">
        <w:t xml:space="preserve">dequately contained and covered </w:t>
      </w:r>
      <w:hyperlink r:id="rId52" w:anchor="print" w:history="1">
        <w:r w:rsidR="009328A7" w:rsidRPr="009328A7">
          <w:rPr>
            <w:rStyle w:val="Hyperlink"/>
          </w:rPr>
          <w:t>(CDC, November 22, 2022).</w:t>
        </w:r>
      </w:hyperlink>
    </w:p>
    <w:p w14:paraId="2ACB531A" w14:textId="704C4B62" w:rsidR="00F17C4F" w:rsidRDefault="00F17C4F" w:rsidP="002C11FA">
      <w:pPr>
        <w:pStyle w:val="ListParagraph"/>
        <w:numPr>
          <w:ilvl w:val="0"/>
          <w:numId w:val="26"/>
        </w:numPr>
      </w:pPr>
      <w:r w:rsidRPr="00F17C4F">
        <w:t>For draining skin lesions that cannot be adequately contained or covered (e.g., on the face, neck, hands, wrists), exclude from work until the lesions ar</w:t>
      </w:r>
      <w:r w:rsidR="009328A7">
        <w:t xml:space="preserve">e no longer draining </w:t>
      </w:r>
      <w:hyperlink r:id="rId53" w:anchor="print" w:history="1">
        <w:r w:rsidR="009328A7" w:rsidRPr="009328A7">
          <w:rPr>
            <w:rStyle w:val="Hyperlink"/>
          </w:rPr>
          <w:t>(CDC, November 22, 2022).</w:t>
        </w:r>
      </w:hyperlink>
    </w:p>
    <w:p w14:paraId="0B236F37" w14:textId="363ECAA8" w:rsidR="002C11FA" w:rsidRDefault="002C11FA" w:rsidP="002C11FA">
      <w:pPr>
        <w:pStyle w:val="Heading2"/>
        <w:numPr>
          <w:ilvl w:val="0"/>
          <w:numId w:val="22"/>
        </w:numPr>
      </w:pPr>
      <w:r>
        <w:t>Contract Tracing</w:t>
      </w:r>
    </w:p>
    <w:p w14:paraId="09AED73E" w14:textId="42DD337C" w:rsidR="00902155" w:rsidRDefault="007446E9" w:rsidP="002C11FA">
      <w:pPr>
        <w:pStyle w:val="ListParagraph"/>
        <w:numPr>
          <w:ilvl w:val="0"/>
          <w:numId w:val="27"/>
        </w:numPr>
        <w:ind w:left="1440"/>
      </w:pPr>
      <w:r>
        <w:t>See exposure definition above.  Work with local health department.</w:t>
      </w:r>
    </w:p>
    <w:p w14:paraId="21F168F3" w14:textId="7BF7A8FA" w:rsidR="002C11FA" w:rsidRDefault="002C11FA" w:rsidP="002C11FA">
      <w:pPr>
        <w:pStyle w:val="Heading2"/>
        <w:numPr>
          <w:ilvl w:val="0"/>
          <w:numId w:val="22"/>
        </w:numPr>
      </w:pPr>
      <w:r>
        <w:t>High-Risk Employees</w:t>
      </w:r>
    </w:p>
    <w:p w14:paraId="798A911A" w14:textId="3D08AB93" w:rsidR="00D13CC2" w:rsidRDefault="00D13CC2" w:rsidP="002C11FA">
      <w:pPr>
        <w:pStyle w:val="ListParagraph"/>
        <w:numPr>
          <w:ilvl w:val="0"/>
          <w:numId w:val="28"/>
        </w:numPr>
        <w:ind w:left="1440"/>
      </w:pPr>
      <w:r>
        <w:t>None identified</w:t>
      </w:r>
      <w:r w:rsidR="002B7379">
        <w:t>.</w:t>
      </w:r>
    </w:p>
    <w:p w14:paraId="58A459CE" w14:textId="77777777" w:rsidR="00E5624B" w:rsidRDefault="00E5624B" w:rsidP="00E5624B">
      <w:pPr>
        <w:pStyle w:val="ListParagraph"/>
        <w:ind w:left="1440"/>
      </w:pPr>
    </w:p>
    <w:p w14:paraId="74631757" w14:textId="77777777" w:rsidR="002C11FA" w:rsidRDefault="002C11FA" w:rsidP="002C11FA">
      <w:pPr>
        <w:pStyle w:val="Heading1"/>
      </w:pPr>
      <w:r>
        <w:lastRenderedPageBreak/>
        <w:t>Outreach Considerations for Healthcare Stakeholders</w:t>
      </w:r>
    </w:p>
    <w:p w14:paraId="18836A48" w14:textId="77777777" w:rsidR="002C11FA" w:rsidRDefault="002C11FA" w:rsidP="002C11FA">
      <w:pPr>
        <w:pStyle w:val="Heading2"/>
        <w:numPr>
          <w:ilvl w:val="0"/>
          <w:numId w:val="29"/>
        </w:numPr>
      </w:pPr>
      <w:r>
        <w:t>Messaging for Senior Leadership</w:t>
      </w:r>
    </w:p>
    <w:p w14:paraId="0491016F" w14:textId="77777777" w:rsidR="002C11FA" w:rsidRDefault="002C11FA" w:rsidP="002C11FA">
      <w:pPr>
        <w:pStyle w:val="ListParagraph"/>
        <w:numPr>
          <w:ilvl w:val="1"/>
          <w:numId w:val="29"/>
        </w:numPr>
        <w:spacing w:line="252" w:lineRule="auto"/>
      </w:pPr>
      <w:r>
        <w:t>Resources required</w:t>
      </w:r>
    </w:p>
    <w:p w14:paraId="49F0B86B" w14:textId="10AB008B" w:rsidR="002C11FA" w:rsidRDefault="002C11FA" w:rsidP="002C11FA">
      <w:pPr>
        <w:pStyle w:val="ListParagraph"/>
        <w:numPr>
          <w:ilvl w:val="2"/>
          <w:numId w:val="29"/>
        </w:numPr>
        <w:spacing w:line="252" w:lineRule="auto"/>
      </w:pPr>
      <w:r>
        <w:t>Consider how to escalate resource request to senior leaders/supervisor</w:t>
      </w:r>
      <w:r w:rsidR="002B7379">
        <w:t>.</w:t>
      </w:r>
    </w:p>
    <w:p w14:paraId="32DFCA72" w14:textId="77777777" w:rsidR="002C11FA" w:rsidRDefault="002C11FA" w:rsidP="002C11FA">
      <w:pPr>
        <w:pStyle w:val="ListParagraph"/>
        <w:numPr>
          <w:ilvl w:val="1"/>
          <w:numId w:val="29"/>
        </w:numPr>
        <w:spacing w:line="252" w:lineRule="auto"/>
      </w:pPr>
      <w:r>
        <w:t>Impact to business continuity</w:t>
      </w:r>
    </w:p>
    <w:p w14:paraId="4E664EA1" w14:textId="0B409BAE" w:rsidR="002C11FA" w:rsidRPr="004F49E5" w:rsidRDefault="002C11FA" w:rsidP="002C11FA">
      <w:pPr>
        <w:pStyle w:val="ListParagraph"/>
        <w:numPr>
          <w:ilvl w:val="2"/>
          <w:numId w:val="29"/>
        </w:numPr>
        <w:spacing w:line="252" w:lineRule="auto"/>
      </w:pPr>
      <w:r>
        <w:t xml:space="preserve">Anticipate how </w:t>
      </w:r>
      <w:r w:rsidR="00786019">
        <w:t>iGAS</w:t>
      </w:r>
      <w:r>
        <w:t xml:space="preserve"> may impact daily operations and communicate to senior leadership/supervisor</w:t>
      </w:r>
      <w:r w:rsidR="002B7379">
        <w:t>.</w:t>
      </w:r>
    </w:p>
    <w:p w14:paraId="45E360D0" w14:textId="77777777" w:rsidR="002C11FA" w:rsidRDefault="002C11FA" w:rsidP="002C11FA">
      <w:pPr>
        <w:pStyle w:val="Heading2"/>
        <w:numPr>
          <w:ilvl w:val="0"/>
          <w:numId w:val="29"/>
        </w:numPr>
      </w:pPr>
      <w:r>
        <w:t>Marketing and Communications</w:t>
      </w:r>
    </w:p>
    <w:p w14:paraId="3F05DBBC" w14:textId="77777777" w:rsidR="002C11FA" w:rsidRDefault="002C11FA" w:rsidP="002C11FA">
      <w:pPr>
        <w:pStyle w:val="ListParagraph"/>
        <w:numPr>
          <w:ilvl w:val="1"/>
          <w:numId w:val="29"/>
        </w:numPr>
        <w:spacing w:line="252" w:lineRule="auto"/>
      </w:pPr>
      <w:r>
        <w:t>Media management planning</w:t>
      </w:r>
    </w:p>
    <w:p w14:paraId="5ECBA2C5" w14:textId="77777777" w:rsidR="002C11FA" w:rsidRDefault="002C11FA" w:rsidP="002C11FA">
      <w:pPr>
        <w:pStyle w:val="ListParagraph"/>
        <w:numPr>
          <w:ilvl w:val="2"/>
          <w:numId w:val="29"/>
        </w:numPr>
        <w:spacing w:line="252" w:lineRule="auto"/>
      </w:pPr>
      <w:r>
        <w:t>Ensure public information officer (PIO) is updated regularly.  If no PIO has been identified, assign.  This person is typically responsible for representing the facility during interviews, and media information requests.</w:t>
      </w:r>
    </w:p>
    <w:p w14:paraId="453059D9" w14:textId="77777777" w:rsidR="002C11FA" w:rsidRDefault="002C11FA" w:rsidP="002C11FA">
      <w:pPr>
        <w:pStyle w:val="ListParagraph"/>
        <w:numPr>
          <w:ilvl w:val="1"/>
          <w:numId w:val="29"/>
        </w:numPr>
        <w:spacing w:line="252" w:lineRule="auto"/>
      </w:pPr>
      <w:r>
        <w:t>Communication for hospital staff, and physicians</w:t>
      </w:r>
    </w:p>
    <w:p w14:paraId="6AF3C474" w14:textId="69FFED9F" w:rsidR="002C11FA" w:rsidRDefault="002C11FA" w:rsidP="002C11FA">
      <w:pPr>
        <w:pStyle w:val="ListParagraph"/>
        <w:numPr>
          <w:ilvl w:val="2"/>
          <w:numId w:val="29"/>
        </w:numPr>
        <w:spacing w:line="252" w:lineRule="auto"/>
      </w:pPr>
      <w:r>
        <w:t>Consider how staff and physicians prefer communication</w:t>
      </w:r>
      <w:r w:rsidR="002B7379">
        <w:t>.</w:t>
      </w:r>
    </w:p>
    <w:p w14:paraId="24C48230" w14:textId="1A4BD0CB" w:rsidR="002C11FA" w:rsidRDefault="002C11FA" w:rsidP="002C11FA">
      <w:pPr>
        <w:pStyle w:val="ListParagraph"/>
        <w:numPr>
          <w:ilvl w:val="2"/>
          <w:numId w:val="29"/>
        </w:numPr>
        <w:spacing w:line="252" w:lineRule="auto"/>
      </w:pPr>
      <w:r>
        <w:t>Create a dated template so team become</w:t>
      </w:r>
      <w:r w:rsidR="002B7379">
        <w:t>s</w:t>
      </w:r>
      <w:r>
        <w:t xml:space="preserve"> familiar with update format</w:t>
      </w:r>
      <w:r w:rsidR="002B7379">
        <w:t>.</w:t>
      </w:r>
    </w:p>
    <w:p w14:paraId="21C34295" w14:textId="6995C207" w:rsidR="002C11FA" w:rsidRDefault="002C11FA" w:rsidP="002C11FA">
      <w:pPr>
        <w:pStyle w:val="ListParagraph"/>
        <w:numPr>
          <w:ilvl w:val="2"/>
          <w:numId w:val="29"/>
        </w:numPr>
        <w:spacing w:line="252" w:lineRule="auto"/>
      </w:pPr>
      <w:r>
        <w:t>Consider how often staff and physicians want to be updated</w:t>
      </w:r>
      <w:r w:rsidR="002B7379">
        <w:t>.</w:t>
      </w:r>
    </w:p>
    <w:p w14:paraId="5ADE0B1F" w14:textId="31416EEB" w:rsidR="002C11FA" w:rsidRPr="00522C16" w:rsidRDefault="002C11FA" w:rsidP="002C11FA">
      <w:pPr>
        <w:pStyle w:val="ListParagraph"/>
        <w:numPr>
          <w:ilvl w:val="2"/>
          <w:numId w:val="29"/>
        </w:numPr>
        <w:spacing w:line="252" w:lineRule="auto"/>
      </w:pPr>
      <w:r>
        <w:t>Consider updates for patients, especially as guidance is updated</w:t>
      </w:r>
      <w:r w:rsidR="002B7379">
        <w:t>.</w:t>
      </w:r>
    </w:p>
    <w:p w14:paraId="135D788F" w14:textId="77777777" w:rsidR="002C11FA" w:rsidRDefault="002C11FA" w:rsidP="002C11FA">
      <w:pPr>
        <w:pStyle w:val="Heading2"/>
        <w:numPr>
          <w:ilvl w:val="0"/>
          <w:numId w:val="29"/>
        </w:numPr>
      </w:pPr>
      <w:r>
        <w:t>Public Health</w:t>
      </w:r>
    </w:p>
    <w:p w14:paraId="03E6C6B1" w14:textId="77777777" w:rsidR="002C11FA" w:rsidRDefault="002C11FA" w:rsidP="002C11FA">
      <w:pPr>
        <w:pStyle w:val="ListParagraph"/>
        <w:numPr>
          <w:ilvl w:val="1"/>
          <w:numId w:val="29"/>
        </w:numPr>
        <w:spacing w:line="252" w:lineRule="auto"/>
      </w:pPr>
      <w:r>
        <w:t>Case reporting requirements</w:t>
      </w:r>
    </w:p>
    <w:p w14:paraId="47612561" w14:textId="3649082F" w:rsidR="002C11FA" w:rsidRDefault="002C11FA" w:rsidP="002C11FA">
      <w:pPr>
        <w:pStyle w:val="ListParagraph"/>
        <w:numPr>
          <w:ilvl w:val="2"/>
          <w:numId w:val="29"/>
        </w:numPr>
        <w:spacing w:line="252" w:lineRule="auto"/>
      </w:pPr>
      <w:r>
        <w:t>Connect with local public health to understand what elements are required within reports, and how often information should be reported</w:t>
      </w:r>
      <w:r w:rsidR="002B7379">
        <w:t>.</w:t>
      </w:r>
    </w:p>
    <w:p w14:paraId="74E3D31A" w14:textId="77777777" w:rsidR="002C11FA" w:rsidRDefault="002C11FA" w:rsidP="002C11FA">
      <w:pPr>
        <w:pStyle w:val="ListParagraph"/>
        <w:numPr>
          <w:ilvl w:val="1"/>
          <w:numId w:val="29"/>
        </w:numPr>
        <w:spacing w:line="252" w:lineRule="auto"/>
      </w:pPr>
      <w:r>
        <w:t>Case testing</w:t>
      </w:r>
    </w:p>
    <w:p w14:paraId="6326769E" w14:textId="77777777" w:rsidR="002C11FA" w:rsidRDefault="002C11FA" w:rsidP="002C11FA">
      <w:pPr>
        <w:pStyle w:val="ListParagraph"/>
        <w:numPr>
          <w:ilvl w:val="2"/>
          <w:numId w:val="29"/>
        </w:numPr>
        <w:spacing w:line="252" w:lineRule="auto"/>
      </w:pPr>
      <w:r>
        <w:t>Connect with local public health to understand testing criteria, and if permission must be granted for testing.  If permission is not required, public health may require notification for testing.</w:t>
      </w:r>
    </w:p>
    <w:p w14:paraId="55A17412" w14:textId="77777777" w:rsidR="002C11FA" w:rsidRDefault="002C11FA" w:rsidP="002C11FA">
      <w:pPr>
        <w:pStyle w:val="ListParagraph"/>
        <w:numPr>
          <w:ilvl w:val="1"/>
          <w:numId w:val="29"/>
        </w:numPr>
        <w:spacing w:line="252" w:lineRule="auto"/>
      </w:pPr>
      <w:r>
        <w:t>Patient transfer</w:t>
      </w:r>
    </w:p>
    <w:p w14:paraId="2DEECD3A" w14:textId="2ACBD29C" w:rsidR="002C11FA" w:rsidRDefault="002C11FA" w:rsidP="002C11FA">
      <w:pPr>
        <w:pStyle w:val="ListParagraph"/>
        <w:numPr>
          <w:ilvl w:val="2"/>
          <w:numId w:val="29"/>
        </w:numPr>
        <w:spacing w:line="252" w:lineRule="auto"/>
      </w:pPr>
      <w:r>
        <w:t>Connect with local public health to understand what reporting is needed prior to patient transfer or discharge.</w:t>
      </w:r>
    </w:p>
    <w:p w14:paraId="3D43F91F" w14:textId="77777777" w:rsidR="002C11FA" w:rsidRDefault="002C11FA" w:rsidP="002C11FA">
      <w:pPr>
        <w:pStyle w:val="ListParagraph"/>
        <w:numPr>
          <w:ilvl w:val="1"/>
          <w:numId w:val="29"/>
        </w:numPr>
        <w:spacing w:line="252" w:lineRule="auto"/>
      </w:pPr>
      <w:r>
        <w:t>Exposure communication</w:t>
      </w:r>
    </w:p>
    <w:p w14:paraId="73B8E5F0" w14:textId="685B74D9" w:rsidR="002C11FA" w:rsidRPr="004F49E5" w:rsidRDefault="002C11FA" w:rsidP="002C11FA">
      <w:pPr>
        <w:pStyle w:val="ListParagraph"/>
        <w:numPr>
          <w:ilvl w:val="2"/>
          <w:numId w:val="29"/>
        </w:numPr>
        <w:spacing w:line="252" w:lineRule="auto"/>
      </w:pPr>
      <w:r>
        <w:t>Connect with local public health to understand reporting requirements for healthcare worker, patient, or visitor exposure</w:t>
      </w:r>
      <w:r w:rsidR="002B7379">
        <w:t>.</w:t>
      </w:r>
    </w:p>
    <w:p w14:paraId="175A1390" w14:textId="77777777" w:rsidR="002C11FA" w:rsidRDefault="002C11FA" w:rsidP="002C11FA">
      <w:pPr>
        <w:pStyle w:val="Heading2"/>
        <w:numPr>
          <w:ilvl w:val="0"/>
          <w:numId w:val="29"/>
        </w:numPr>
      </w:pPr>
      <w:r>
        <w:t>Pharmacy</w:t>
      </w:r>
    </w:p>
    <w:p w14:paraId="75AD3A06" w14:textId="77777777" w:rsidR="002C11FA" w:rsidRDefault="002C11FA" w:rsidP="002C11FA">
      <w:pPr>
        <w:pStyle w:val="ListParagraph"/>
        <w:numPr>
          <w:ilvl w:val="1"/>
          <w:numId w:val="29"/>
        </w:numPr>
        <w:spacing w:line="252" w:lineRule="auto"/>
      </w:pPr>
      <w:r>
        <w:t>Prophylaxis procurement</w:t>
      </w:r>
    </w:p>
    <w:p w14:paraId="1197F9A9" w14:textId="179EA24B" w:rsidR="002C11FA" w:rsidRDefault="002C11FA" w:rsidP="002C11FA">
      <w:pPr>
        <w:pStyle w:val="ListParagraph"/>
        <w:numPr>
          <w:ilvl w:val="2"/>
          <w:numId w:val="29"/>
        </w:numPr>
        <w:spacing w:line="252" w:lineRule="auto"/>
      </w:pPr>
      <w:r>
        <w:t>Connect with pharmacy to understand prophylaxis options</w:t>
      </w:r>
      <w:r w:rsidR="002B7379">
        <w:t>.</w:t>
      </w:r>
    </w:p>
    <w:p w14:paraId="0E517714" w14:textId="3BC4DB95" w:rsidR="002C11FA" w:rsidRDefault="002C11FA" w:rsidP="002C11FA">
      <w:pPr>
        <w:pStyle w:val="ListParagraph"/>
        <w:numPr>
          <w:ilvl w:val="2"/>
          <w:numId w:val="29"/>
        </w:numPr>
        <w:spacing w:line="252" w:lineRule="auto"/>
      </w:pPr>
      <w:r>
        <w:t>If local public health distributes prophylaxis, understand criteria required for prophylaxis release</w:t>
      </w:r>
      <w:r w:rsidR="002B7379">
        <w:t>.</w:t>
      </w:r>
    </w:p>
    <w:p w14:paraId="6651F3F5" w14:textId="77777777" w:rsidR="002C11FA" w:rsidRDefault="002C11FA" w:rsidP="002C11FA">
      <w:pPr>
        <w:pStyle w:val="ListParagraph"/>
        <w:numPr>
          <w:ilvl w:val="1"/>
          <w:numId w:val="29"/>
        </w:numPr>
        <w:spacing w:line="252" w:lineRule="auto"/>
      </w:pPr>
      <w:r>
        <w:t>Vaccine procurement</w:t>
      </w:r>
    </w:p>
    <w:p w14:paraId="7108F8F5" w14:textId="0A28AFC9" w:rsidR="002C11FA" w:rsidRDefault="002C11FA" w:rsidP="002C11FA">
      <w:pPr>
        <w:pStyle w:val="ListParagraph"/>
        <w:numPr>
          <w:ilvl w:val="2"/>
          <w:numId w:val="29"/>
        </w:numPr>
        <w:spacing w:line="252" w:lineRule="auto"/>
      </w:pPr>
      <w:r>
        <w:t>Connect with pharmacy to understand vaccine options</w:t>
      </w:r>
      <w:r w:rsidR="002B7379">
        <w:t>.</w:t>
      </w:r>
    </w:p>
    <w:p w14:paraId="0043D1FC" w14:textId="55EC5E87" w:rsidR="002C11FA" w:rsidRDefault="002C11FA" w:rsidP="002C11FA">
      <w:pPr>
        <w:pStyle w:val="ListParagraph"/>
        <w:numPr>
          <w:ilvl w:val="2"/>
          <w:numId w:val="29"/>
        </w:numPr>
        <w:spacing w:line="252" w:lineRule="auto"/>
      </w:pPr>
      <w:r>
        <w:t>If local public health distributes vaccine, understand criteria required for vaccine release</w:t>
      </w:r>
      <w:r w:rsidR="002B7379">
        <w:t>.</w:t>
      </w:r>
    </w:p>
    <w:p w14:paraId="44DB5124" w14:textId="77777777" w:rsidR="002C11FA" w:rsidRDefault="002C11FA" w:rsidP="002C11FA">
      <w:pPr>
        <w:pStyle w:val="ListParagraph"/>
        <w:numPr>
          <w:ilvl w:val="1"/>
          <w:numId w:val="29"/>
        </w:numPr>
        <w:spacing w:line="252" w:lineRule="auto"/>
      </w:pPr>
      <w:r>
        <w:t>Treatment requirements</w:t>
      </w:r>
    </w:p>
    <w:p w14:paraId="2CC4AC72" w14:textId="67F336D5" w:rsidR="002C11FA" w:rsidRDefault="002C11FA" w:rsidP="002C11FA">
      <w:pPr>
        <w:pStyle w:val="ListParagraph"/>
        <w:numPr>
          <w:ilvl w:val="2"/>
          <w:numId w:val="29"/>
        </w:numPr>
        <w:spacing w:line="252" w:lineRule="auto"/>
      </w:pPr>
      <w:r>
        <w:t>Connect with pharmacy to understand treatment options</w:t>
      </w:r>
      <w:r w:rsidR="002B7379">
        <w:t>.</w:t>
      </w:r>
    </w:p>
    <w:p w14:paraId="10185587" w14:textId="788B88C1" w:rsidR="002C11FA" w:rsidRPr="004F49E5" w:rsidRDefault="002C11FA" w:rsidP="002C11FA">
      <w:pPr>
        <w:pStyle w:val="ListParagraph"/>
        <w:numPr>
          <w:ilvl w:val="2"/>
          <w:numId w:val="29"/>
        </w:numPr>
        <w:spacing w:line="252" w:lineRule="auto"/>
      </w:pPr>
      <w:r>
        <w:t>If local public health distributes treatment, understand criteria required for treatment release</w:t>
      </w:r>
      <w:r w:rsidR="002B7379">
        <w:t>.</w:t>
      </w:r>
    </w:p>
    <w:p w14:paraId="1095D3CB" w14:textId="77777777" w:rsidR="002C11FA" w:rsidRDefault="002C11FA" w:rsidP="002C11FA">
      <w:pPr>
        <w:pStyle w:val="Heading2"/>
        <w:numPr>
          <w:ilvl w:val="0"/>
          <w:numId w:val="29"/>
        </w:numPr>
      </w:pPr>
      <w:r>
        <w:t>Partnering Laboratories</w:t>
      </w:r>
    </w:p>
    <w:p w14:paraId="5EEACB9D" w14:textId="77777777" w:rsidR="002C11FA" w:rsidRDefault="002C11FA" w:rsidP="002C11FA">
      <w:pPr>
        <w:pStyle w:val="ListParagraph"/>
        <w:numPr>
          <w:ilvl w:val="1"/>
          <w:numId w:val="29"/>
        </w:numPr>
        <w:spacing w:line="252" w:lineRule="auto"/>
      </w:pPr>
      <w:r>
        <w:t>Testing methodologies</w:t>
      </w:r>
    </w:p>
    <w:p w14:paraId="70924111" w14:textId="1C0A4C3A" w:rsidR="002C11FA" w:rsidRDefault="002C11FA" w:rsidP="002C11FA">
      <w:pPr>
        <w:pStyle w:val="ListParagraph"/>
        <w:numPr>
          <w:ilvl w:val="2"/>
          <w:numId w:val="29"/>
        </w:numPr>
        <w:spacing w:line="252" w:lineRule="auto"/>
      </w:pPr>
      <w:r>
        <w:t>Connect with the laboratory to understand available testing methodologies, and what supplies are required</w:t>
      </w:r>
      <w:r w:rsidR="002B7379">
        <w:t>.</w:t>
      </w:r>
      <w:r>
        <w:t xml:space="preserve"> </w:t>
      </w:r>
    </w:p>
    <w:p w14:paraId="35D70CC2" w14:textId="521B0724" w:rsidR="002C11FA" w:rsidRDefault="002C11FA" w:rsidP="002C11FA">
      <w:pPr>
        <w:pStyle w:val="ListParagraph"/>
        <w:numPr>
          <w:ilvl w:val="2"/>
          <w:numId w:val="29"/>
        </w:numPr>
        <w:spacing w:line="252" w:lineRule="auto"/>
      </w:pPr>
      <w:r>
        <w:t>See “Public Health” above if local public health is involved in testing</w:t>
      </w:r>
      <w:r w:rsidR="002B7379">
        <w:t>.</w:t>
      </w:r>
    </w:p>
    <w:p w14:paraId="16113164" w14:textId="77777777" w:rsidR="002C11FA" w:rsidRDefault="002C11FA" w:rsidP="002C11FA">
      <w:pPr>
        <w:pStyle w:val="ListParagraph"/>
        <w:numPr>
          <w:ilvl w:val="1"/>
          <w:numId w:val="29"/>
        </w:numPr>
        <w:spacing w:line="252" w:lineRule="auto"/>
      </w:pPr>
      <w:r>
        <w:t>Testing procedure</w:t>
      </w:r>
    </w:p>
    <w:p w14:paraId="2CA084AC" w14:textId="71EDC126" w:rsidR="002C11FA" w:rsidRDefault="002C11FA" w:rsidP="002C11FA">
      <w:pPr>
        <w:pStyle w:val="ListParagraph"/>
        <w:numPr>
          <w:ilvl w:val="2"/>
          <w:numId w:val="29"/>
        </w:numPr>
        <w:spacing w:line="252" w:lineRule="auto"/>
      </w:pPr>
      <w:r>
        <w:t>Connect with the laboratory to understand testing procedure</w:t>
      </w:r>
      <w:r w:rsidR="002B7379">
        <w:t>.</w:t>
      </w:r>
    </w:p>
    <w:p w14:paraId="250E8EEE" w14:textId="4917BD2D" w:rsidR="002C11FA" w:rsidRDefault="002C11FA" w:rsidP="002C11FA">
      <w:pPr>
        <w:pStyle w:val="ListParagraph"/>
        <w:numPr>
          <w:ilvl w:val="2"/>
          <w:numId w:val="29"/>
        </w:numPr>
        <w:spacing w:line="252" w:lineRule="auto"/>
      </w:pPr>
      <w:r>
        <w:lastRenderedPageBreak/>
        <w:t>Include testing procedures in communication to clinical teams</w:t>
      </w:r>
      <w:r w:rsidR="002B7379">
        <w:t>.</w:t>
      </w:r>
    </w:p>
    <w:p w14:paraId="3A8E0F23" w14:textId="2EC13041" w:rsidR="002C11FA" w:rsidRDefault="002C11FA" w:rsidP="002C11FA">
      <w:pPr>
        <w:pStyle w:val="ListParagraph"/>
        <w:numPr>
          <w:ilvl w:val="2"/>
          <w:numId w:val="29"/>
        </w:numPr>
        <w:spacing w:line="252" w:lineRule="auto"/>
      </w:pPr>
      <w:r>
        <w:t>See “Public Health” above if local public health is involved in testing</w:t>
      </w:r>
      <w:r w:rsidR="002B7379">
        <w:t>.</w:t>
      </w:r>
    </w:p>
    <w:p w14:paraId="76E780E9" w14:textId="77777777" w:rsidR="002C11FA" w:rsidRDefault="002C11FA" w:rsidP="002C11FA">
      <w:pPr>
        <w:pStyle w:val="ListParagraph"/>
        <w:numPr>
          <w:ilvl w:val="1"/>
          <w:numId w:val="29"/>
        </w:numPr>
        <w:spacing w:line="252" w:lineRule="auto"/>
      </w:pPr>
      <w:r>
        <w:t>Specimen shipment</w:t>
      </w:r>
    </w:p>
    <w:p w14:paraId="2A496AA0" w14:textId="4C1233B6" w:rsidR="002C11FA" w:rsidRDefault="002C11FA" w:rsidP="002C11FA">
      <w:pPr>
        <w:pStyle w:val="ListParagraph"/>
        <w:numPr>
          <w:ilvl w:val="2"/>
          <w:numId w:val="29"/>
        </w:numPr>
        <w:spacing w:line="252" w:lineRule="auto"/>
      </w:pPr>
      <w:r>
        <w:t xml:space="preserve">Ensure the laboratory is aware of shipping </w:t>
      </w:r>
      <w:r w:rsidR="002B7379">
        <w:t>requirements and</w:t>
      </w:r>
      <w:r>
        <w:t xml:space="preserve"> has the supplies on hand for shipping requirements</w:t>
      </w:r>
      <w:r w:rsidR="002B7379">
        <w:t>.</w:t>
      </w:r>
    </w:p>
    <w:p w14:paraId="5D8C38E4" w14:textId="77777777" w:rsidR="002C11FA" w:rsidRDefault="002C11FA" w:rsidP="002C11FA">
      <w:pPr>
        <w:pStyle w:val="ListParagraph"/>
        <w:numPr>
          <w:ilvl w:val="1"/>
          <w:numId w:val="29"/>
        </w:numPr>
        <w:spacing w:line="252" w:lineRule="auto"/>
      </w:pPr>
      <w:r>
        <w:t>Turnaround time for results</w:t>
      </w:r>
    </w:p>
    <w:p w14:paraId="676F6894" w14:textId="7156B5A4" w:rsidR="002C11FA" w:rsidRDefault="002C11FA" w:rsidP="002C11FA">
      <w:pPr>
        <w:pStyle w:val="ListParagraph"/>
        <w:numPr>
          <w:ilvl w:val="2"/>
          <w:numId w:val="29"/>
        </w:numPr>
        <w:spacing w:line="252" w:lineRule="auto"/>
      </w:pPr>
      <w:r>
        <w:t>Connect with the laboratory to understand testing turnaround times</w:t>
      </w:r>
      <w:r w:rsidR="002B7379">
        <w:t>.</w:t>
      </w:r>
    </w:p>
    <w:p w14:paraId="380BE93B" w14:textId="77777777" w:rsidR="002C11FA" w:rsidRDefault="002C11FA" w:rsidP="002C11FA">
      <w:pPr>
        <w:pStyle w:val="ListParagraph"/>
        <w:numPr>
          <w:ilvl w:val="1"/>
          <w:numId w:val="29"/>
        </w:numPr>
        <w:spacing w:line="252" w:lineRule="auto"/>
      </w:pPr>
      <w:r>
        <w:t>Results reporting</w:t>
      </w:r>
    </w:p>
    <w:p w14:paraId="3BFF52C0" w14:textId="26833D54" w:rsidR="002C11FA" w:rsidRDefault="002C11FA" w:rsidP="002C11FA">
      <w:pPr>
        <w:pStyle w:val="ListParagraph"/>
        <w:numPr>
          <w:ilvl w:val="2"/>
          <w:numId w:val="29"/>
        </w:numPr>
        <w:spacing w:line="252" w:lineRule="auto"/>
      </w:pPr>
      <w:r>
        <w:t>Connect with the laboratory to understand reporting workflow</w:t>
      </w:r>
      <w:r w:rsidR="002B7379">
        <w:t>.</w:t>
      </w:r>
    </w:p>
    <w:p w14:paraId="4D16732E" w14:textId="12D223BE" w:rsidR="002C11FA" w:rsidRPr="004F49E5" w:rsidRDefault="002C11FA" w:rsidP="002C11FA">
      <w:pPr>
        <w:pStyle w:val="ListParagraph"/>
        <w:numPr>
          <w:ilvl w:val="2"/>
          <w:numId w:val="29"/>
        </w:numPr>
        <w:spacing w:line="252" w:lineRule="auto"/>
      </w:pPr>
      <w:r>
        <w:t xml:space="preserve">Plan </w:t>
      </w:r>
      <w:r w:rsidR="002B7379">
        <w:t xml:space="preserve">with </w:t>
      </w:r>
      <w:r>
        <w:t>who</w:t>
      </w:r>
      <w:r w:rsidR="002B7379">
        <w:t>m,</w:t>
      </w:r>
      <w:r>
        <w:t xml:space="preserve"> and how</w:t>
      </w:r>
      <w:r w:rsidR="002B7379">
        <w:t>,</w:t>
      </w:r>
      <w:r>
        <w:t xml:space="preserve"> the laboratory will communicate results.  If testing is sent out, ensure a point of contact is named.</w:t>
      </w:r>
    </w:p>
    <w:p w14:paraId="714D86F9" w14:textId="77777777" w:rsidR="002C11FA" w:rsidRDefault="002C11FA" w:rsidP="002C11FA">
      <w:pPr>
        <w:pStyle w:val="Heading2"/>
        <w:numPr>
          <w:ilvl w:val="0"/>
          <w:numId w:val="29"/>
        </w:numPr>
      </w:pPr>
      <w:r>
        <w:t>Supply Chain</w:t>
      </w:r>
    </w:p>
    <w:p w14:paraId="463FE170" w14:textId="77777777" w:rsidR="002C11FA" w:rsidRDefault="002C11FA" w:rsidP="002C11FA">
      <w:pPr>
        <w:pStyle w:val="ListParagraph"/>
        <w:numPr>
          <w:ilvl w:val="1"/>
          <w:numId w:val="29"/>
        </w:numPr>
        <w:spacing w:line="252" w:lineRule="auto"/>
      </w:pPr>
      <w:r>
        <w:t>PPE days on hand reporting</w:t>
      </w:r>
    </w:p>
    <w:p w14:paraId="1BB85D95" w14:textId="22B1F509" w:rsidR="002C11FA" w:rsidRDefault="002C11FA" w:rsidP="002C11FA">
      <w:pPr>
        <w:pStyle w:val="ListParagraph"/>
        <w:numPr>
          <w:ilvl w:val="2"/>
          <w:numId w:val="29"/>
        </w:numPr>
        <w:spacing w:line="252" w:lineRule="auto"/>
      </w:pPr>
      <w:r>
        <w:t>Connect with supply chain to identify key PPE to monitor regularly</w:t>
      </w:r>
      <w:r w:rsidR="002B7379">
        <w:t>.</w:t>
      </w:r>
    </w:p>
    <w:p w14:paraId="0AEAD315" w14:textId="201218E9" w:rsidR="002C11FA" w:rsidRDefault="002C11FA" w:rsidP="002C11FA">
      <w:pPr>
        <w:pStyle w:val="ListParagraph"/>
        <w:numPr>
          <w:ilvl w:val="2"/>
          <w:numId w:val="29"/>
        </w:numPr>
        <w:spacing w:line="252" w:lineRule="auto"/>
      </w:pPr>
      <w:r>
        <w:t>Include senior leadership in communication</w:t>
      </w:r>
      <w:r w:rsidR="002B7379">
        <w:t>.</w:t>
      </w:r>
    </w:p>
    <w:p w14:paraId="6DB077B6" w14:textId="715276C9" w:rsidR="002C11FA" w:rsidRDefault="002C11FA" w:rsidP="002C11FA">
      <w:pPr>
        <w:pStyle w:val="ListParagraph"/>
        <w:numPr>
          <w:ilvl w:val="2"/>
          <w:numId w:val="29"/>
        </w:numPr>
        <w:spacing w:line="252" w:lineRule="auto"/>
      </w:pPr>
      <w:r>
        <w:t>Identify reporting cadence</w:t>
      </w:r>
      <w:r w:rsidR="002B7379">
        <w:t>.</w:t>
      </w:r>
    </w:p>
    <w:p w14:paraId="25ED6BF8" w14:textId="77777777" w:rsidR="002C11FA" w:rsidRDefault="002C11FA" w:rsidP="002C11FA">
      <w:pPr>
        <w:pStyle w:val="ListParagraph"/>
        <w:numPr>
          <w:ilvl w:val="1"/>
          <w:numId w:val="29"/>
        </w:numPr>
        <w:spacing w:line="252" w:lineRule="auto"/>
      </w:pPr>
      <w:r>
        <w:t>Contingency planning for PPE</w:t>
      </w:r>
    </w:p>
    <w:p w14:paraId="2053BD79" w14:textId="4145ACD7" w:rsidR="002C11FA" w:rsidRDefault="002C11FA" w:rsidP="002C11FA">
      <w:pPr>
        <w:pStyle w:val="ListParagraph"/>
        <w:numPr>
          <w:ilvl w:val="2"/>
          <w:numId w:val="29"/>
        </w:numPr>
        <w:spacing w:line="252" w:lineRule="auto"/>
      </w:pPr>
      <w:r>
        <w:t>Identify thresholds to begin conservation and contingency plans</w:t>
      </w:r>
      <w:r w:rsidR="002B7379">
        <w:t>.</w:t>
      </w:r>
    </w:p>
    <w:p w14:paraId="47987D29" w14:textId="451C66B1" w:rsidR="002C11FA" w:rsidRDefault="002C11FA" w:rsidP="002C11FA">
      <w:pPr>
        <w:pStyle w:val="ListParagraph"/>
        <w:numPr>
          <w:ilvl w:val="2"/>
          <w:numId w:val="29"/>
        </w:numPr>
        <w:spacing w:line="252" w:lineRule="auto"/>
      </w:pPr>
      <w:r>
        <w:t>Provide PPE requirements so supply chain can identify back-up, alternate supplies in the case of shortage</w:t>
      </w:r>
      <w:r w:rsidR="002B7379">
        <w:t>.</w:t>
      </w:r>
    </w:p>
    <w:p w14:paraId="40065C32" w14:textId="241D445E" w:rsidR="002C11FA" w:rsidRDefault="002C11FA" w:rsidP="002C11FA">
      <w:pPr>
        <w:pStyle w:val="ListParagraph"/>
        <w:numPr>
          <w:ilvl w:val="1"/>
          <w:numId w:val="29"/>
        </w:numPr>
        <w:spacing w:line="252" w:lineRule="auto"/>
      </w:pPr>
      <w:r>
        <w:t>Specific supply planning</w:t>
      </w:r>
      <w:r w:rsidR="002B7379">
        <w:t>: conduct planning for</w:t>
      </w:r>
    </w:p>
    <w:p w14:paraId="4F0BBCE2" w14:textId="045D9085" w:rsidR="002C11FA" w:rsidRDefault="002B7379" w:rsidP="002C11FA">
      <w:pPr>
        <w:pStyle w:val="ListParagraph"/>
        <w:numPr>
          <w:ilvl w:val="2"/>
          <w:numId w:val="29"/>
        </w:numPr>
        <w:spacing w:line="252" w:lineRule="auto"/>
      </w:pPr>
      <w:bookmarkStart w:id="0" w:name="_Hlk132367122"/>
      <w:r>
        <w:t>S</w:t>
      </w:r>
      <w:r w:rsidR="002C11FA">
        <w:t>pecimen collection supplies, test</w:t>
      </w:r>
      <w:r w:rsidR="000557B0">
        <w:t>,</w:t>
      </w:r>
      <w:r>
        <w:t xml:space="preserve"> and </w:t>
      </w:r>
      <w:r w:rsidR="002C11FA">
        <w:t>reagent suppl</w:t>
      </w:r>
      <w:r>
        <w:t>ies</w:t>
      </w:r>
    </w:p>
    <w:p w14:paraId="105A1853" w14:textId="330256C0" w:rsidR="002C11FA" w:rsidRDefault="002C11FA" w:rsidP="002C11FA">
      <w:pPr>
        <w:pStyle w:val="ListParagraph"/>
        <w:numPr>
          <w:ilvl w:val="2"/>
          <w:numId w:val="29"/>
        </w:numPr>
        <w:spacing w:line="252" w:lineRule="auto"/>
      </w:pPr>
      <w:r>
        <w:t>Cleaning supplies and disinfectants</w:t>
      </w:r>
    </w:p>
    <w:bookmarkEnd w:id="0"/>
    <w:p w14:paraId="6B63E30B" w14:textId="77777777" w:rsidR="002C11FA" w:rsidRDefault="002C11FA" w:rsidP="002C11FA">
      <w:pPr>
        <w:pStyle w:val="ListParagraph"/>
        <w:numPr>
          <w:ilvl w:val="1"/>
          <w:numId w:val="29"/>
        </w:numPr>
        <w:spacing w:line="252" w:lineRule="auto"/>
      </w:pPr>
      <w:r>
        <w:t>Patient care supply identification</w:t>
      </w:r>
    </w:p>
    <w:p w14:paraId="720A145B" w14:textId="2CA99431" w:rsidR="002C11FA" w:rsidRDefault="00402EBE" w:rsidP="002C11FA">
      <w:pPr>
        <w:pStyle w:val="ListParagraph"/>
        <w:numPr>
          <w:ilvl w:val="2"/>
          <w:numId w:val="29"/>
        </w:numPr>
        <w:spacing w:line="252" w:lineRule="auto"/>
      </w:pPr>
      <w:bookmarkStart w:id="1" w:name="_Hlk132367175"/>
      <w:r>
        <w:t>Identify suppliers for products such as v</w:t>
      </w:r>
      <w:r w:rsidR="002C11FA">
        <w:t>entilators</w:t>
      </w:r>
      <w:r>
        <w:t>.</w:t>
      </w:r>
    </w:p>
    <w:p w14:paraId="07BBCE8A" w14:textId="00A6EADB" w:rsidR="002C11FA" w:rsidRPr="004F49E5" w:rsidRDefault="00402EBE" w:rsidP="002C11FA">
      <w:pPr>
        <w:pStyle w:val="ListParagraph"/>
        <w:numPr>
          <w:ilvl w:val="2"/>
          <w:numId w:val="29"/>
        </w:numPr>
        <w:spacing w:line="252" w:lineRule="auto"/>
      </w:pPr>
      <w:r>
        <w:t>Identify suppliers for t</w:t>
      </w:r>
      <w:r w:rsidR="002C11FA">
        <w:t>reatment or supportive care supplies</w:t>
      </w:r>
      <w:r>
        <w:t>.</w:t>
      </w:r>
    </w:p>
    <w:bookmarkEnd w:id="1"/>
    <w:p w14:paraId="21EE3FE8" w14:textId="77777777" w:rsidR="00AB2101" w:rsidRDefault="00AB2101" w:rsidP="0039771D"/>
    <w:p w14:paraId="12D51CEF" w14:textId="77777777" w:rsidR="00AB2101" w:rsidRDefault="00AB2101" w:rsidP="0039771D"/>
    <w:p w14:paraId="111E55D5" w14:textId="4C16695E" w:rsidR="0039771D" w:rsidRDefault="0039771D" w:rsidP="0039771D">
      <w:r w:rsidRPr="00B1316D">
        <w:t xml:space="preserve">For additional detail or more information see </w:t>
      </w:r>
      <w:r w:rsidR="00B1316D" w:rsidRPr="00B1316D">
        <w:t xml:space="preserve">the Association for Processionals in Infection Control and Epidemiology </w:t>
      </w:r>
      <w:hyperlink r:id="rId54" w:history="1">
        <w:r w:rsidR="00B1316D" w:rsidRPr="00402EBE">
          <w:rPr>
            <w:rStyle w:val="Hyperlink"/>
          </w:rPr>
          <w:t>Text, Chapter 96: Streptococci</w:t>
        </w:r>
      </w:hyperlink>
      <w:r w:rsidR="00B1316D" w:rsidRPr="00B1316D">
        <w:t>, Revised November 3, 2022.</w:t>
      </w:r>
    </w:p>
    <w:p w14:paraId="03293910" w14:textId="77777777" w:rsidR="00264C2D" w:rsidRDefault="00264C2D" w:rsidP="00264C2D">
      <w:pPr>
        <w:pStyle w:val="ListParagraph"/>
        <w:ind w:left="2160"/>
      </w:pPr>
    </w:p>
    <w:sectPr w:rsidR="00264C2D" w:rsidSect="009753AC">
      <w:headerReference w:type="default" r:id="rId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707B" w14:textId="77777777" w:rsidR="00921420" w:rsidRDefault="00921420" w:rsidP="00C2456A">
      <w:pPr>
        <w:spacing w:after="0" w:line="240" w:lineRule="auto"/>
      </w:pPr>
      <w:r>
        <w:separator/>
      </w:r>
    </w:p>
  </w:endnote>
  <w:endnote w:type="continuationSeparator" w:id="0">
    <w:p w14:paraId="02416408" w14:textId="77777777" w:rsidR="00921420" w:rsidRDefault="00921420" w:rsidP="00C2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DE23" w14:textId="77777777" w:rsidR="00921420" w:rsidRDefault="00921420" w:rsidP="00C2456A">
      <w:pPr>
        <w:spacing w:after="0" w:line="240" w:lineRule="auto"/>
      </w:pPr>
      <w:r>
        <w:separator/>
      </w:r>
    </w:p>
  </w:footnote>
  <w:footnote w:type="continuationSeparator" w:id="0">
    <w:p w14:paraId="25035627" w14:textId="77777777" w:rsidR="00921420" w:rsidRDefault="00921420" w:rsidP="00C24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C28C" w14:textId="586D0C15" w:rsidR="00F17C4F" w:rsidRDefault="00F17C4F" w:rsidP="003A2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81"/>
    <w:multiLevelType w:val="hybridMultilevel"/>
    <w:tmpl w:val="D6668D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8749E2"/>
    <w:multiLevelType w:val="hybridMultilevel"/>
    <w:tmpl w:val="08783E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A20776"/>
    <w:multiLevelType w:val="hybridMultilevel"/>
    <w:tmpl w:val="AD229F3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857C5"/>
    <w:multiLevelType w:val="hybridMultilevel"/>
    <w:tmpl w:val="EA9CEA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815801"/>
    <w:multiLevelType w:val="hybridMultilevel"/>
    <w:tmpl w:val="D054D2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0754F3"/>
    <w:multiLevelType w:val="hybridMultilevel"/>
    <w:tmpl w:val="77AEB5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D41A27"/>
    <w:multiLevelType w:val="hybridMultilevel"/>
    <w:tmpl w:val="E640A2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444E95"/>
    <w:multiLevelType w:val="hybridMultilevel"/>
    <w:tmpl w:val="8F704B70"/>
    <w:lvl w:ilvl="0" w:tplc="281E6E72">
      <w:start w:val="1"/>
      <w:numFmt w:val="decimal"/>
      <w:lvlText w:val="%1)"/>
      <w:lvlJc w:val="left"/>
      <w:pPr>
        <w:ind w:left="360" w:hanging="360"/>
      </w:pPr>
      <w:rPr>
        <w:rFonts w:asciiTheme="majorHAnsi" w:eastAsiaTheme="majorEastAsia" w:hAnsiTheme="majorHAnsi" w:cstheme="maj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E875887"/>
    <w:multiLevelType w:val="multilevel"/>
    <w:tmpl w:val="703659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335703"/>
    <w:multiLevelType w:val="hybridMultilevel"/>
    <w:tmpl w:val="946EEE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F13972"/>
    <w:multiLevelType w:val="hybridMultilevel"/>
    <w:tmpl w:val="8F704B70"/>
    <w:lvl w:ilvl="0" w:tplc="281E6E72">
      <w:start w:val="1"/>
      <w:numFmt w:val="decimal"/>
      <w:lvlText w:val="%1)"/>
      <w:lvlJc w:val="left"/>
      <w:pPr>
        <w:ind w:left="360" w:hanging="360"/>
      </w:pPr>
      <w:rPr>
        <w:rFonts w:asciiTheme="majorHAnsi" w:eastAsiaTheme="majorEastAsia" w:hAnsiTheme="majorHAnsi" w:cstheme="maj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C020603"/>
    <w:multiLevelType w:val="hybridMultilevel"/>
    <w:tmpl w:val="E640A2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3643EA"/>
    <w:multiLevelType w:val="hybridMultilevel"/>
    <w:tmpl w:val="7A64F1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B91F3C"/>
    <w:multiLevelType w:val="multilevel"/>
    <w:tmpl w:val="D8AA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1045F"/>
    <w:multiLevelType w:val="hybridMultilevel"/>
    <w:tmpl w:val="DFF0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C70CE"/>
    <w:multiLevelType w:val="hybridMultilevel"/>
    <w:tmpl w:val="C7E8B4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9E2B21"/>
    <w:multiLevelType w:val="hybridMultilevel"/>
    <w:tmpl w:val="A95CB2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743DE1"/>
    <w:multiLevelType w:val="hybridMultilevel"/>
    <w:tmpl w:val="1D742F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F16051"/>
    <w:multiLevelType w:val="hybridMultilevel"/>
    <w:tmpl w:val="8402E4C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A236876"/>
    <w:multiLevelType w:val="hybridMultilevel"/>
    <w:tmpl w:val="FFE6E5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24B32"/>
    <w:multiLevelType w:val="hybridMultilevel"/>
    <w:tmpl w:val="E2E037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477972"/>
    <w:multiLevelType w:val="hybridMultilevel"/>
    <w:tmpl w:val="D6668D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F57B8B"/>
    <w:multiLevelType w:val="hybridMultilevel"/>
    <w:tmpl w:val="89DA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138FB"/>
    <w:multiLevelType w:val="hybridMultilevel"/>
    <w:tmpl w:val="63784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583139"/>
    <w:multiLevelType w:val="hybridMultilevel"/>
    <w:tmpl w:val="4F889B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8777724"/>
    <w:multiLevelType w:val="hybridMultilevel"/>
    <w:tmpl w:val="08783E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DC505A"/>
    <w:multiLevelType w:val="hybridMultilevel"/>
    <w:tmpl w:val="BA0E2C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F03847"/>
    <w:multiLevelType w:val="hybridMultilevel"/>
    <w:tmpl w:val="56E4E2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4C6EF4"/>
    <w:multiLevelType w:val="hybridMultilevel"/>
    <w:tmpl w:val="7D6276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AA4037"/>
    <w:multiLevelType w:val="hybridMultilevel"/>
    <w:tmpl w:val="994A38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39795273">
    <w:abstractNumId w:val="19"/>
  </w:num>
  <w:num w:numId="2" w16cid:durableId="1809471449">
    <w:abstractNumId w:val="14"/>
  </w:num>
  <w:num w:numId="3" w16cid:durableId="692078634">
    <w:abstractNumId w:val="13"/>
  </w:num>
  <w:num w:numId="4" w16cid:durableId="263460590">
    <w:abstractNumId w:val="22"/>
  </w:num>
  <w:num w:numId="5" w16cid:durableId="13904982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874583">
    <w:abstractNumId w:val="2"/>
  </w:num>
  <w:num w:numId="7" w16cid:durableId="222065897">
    <w:abstractNumId w:val="23"/>
  </w:num>
  <w:num w:numId="8" w16cid:durableId="629434289">
    <w:abstractNumId w:val="5"/>
  </w:num>
  <w:num w:numId="9" w16cid:durableId="633607790">
    <w:abstractNumId w:val="12"/>
  </w:num>
  <w:num w:numId="10" w16cid:durableId="618418139">
    <w:abstractNumId w:val="9"/>
  </w:num>
  <w:num w:numId="11" w16cid:durableId="2026713333">
    <w:abstractNumId w:val="26"/>
  </w:num>
  <w:num w:numId="12" w16cid:durableId="438914436">
    <w:abstractNumId w:val="20"/>
  </w:num>
  <w:num w:numId="13" w16cid:durableId="797456841">
    <w:abstractNumId w:val="24"/>
  </w:num>
  <w:num w:numId="14" w16cid:durableId="1661469708">
    <w:abstractNumId w:val="28"/>
  </w:num>
  <w:num w:numId="15" w16cid:durableId="544414086">
    <w:abstractNumId w:val="16"/>
  </w:num>
  <w:num w:numId="16" w16cid:durableId="434790095">
    <w:abstractNumId w:val="3"/>
  </w:num>
  <w:num w:numId="17" w16cid:durableId="74517000">
    <w:abstractNumId w:val="18"/>
  </w:num>
  <w:num w:numId="18" w16cid:durableId="478114300">
    <w:abstractNumId w:val="21"/>
  </w:num>
  <w:num w:numId="19" w16cid:durableId="1384061632">
    <w:abstractNumId w:val="0"/>
  </w:num>
  <w:num w:numId="20" w16cid:durableId="1769082543">
    <w:abstractNumId w:val="25"/>
  </w:num>
  <w:num w:numId="21" w16cid:durableId="144247709">
    <w:abstractNumId w:val="1"/>
  </w:num>
  <w:num w:numId="22" w16cid:durableId="588274407">
    <w:abstractNumId w:val="10"/>
  </w:num>
  <w:num w:numId="23" w16cid:durableId="1704211859">
    <w:abstractNumId w:val="17"/>
  </w:num>
  <w:num w:numId="24" w16cid:durableId="578491374">
    <w:abstractNumId w:val="29"/>
  </w:num>
  <w:num w:numId="25" w16cid:durableId="1065450778">
    <w:abstractNumId w:val="27"/>
  </w:num>
  <w:num w:numId="26" w16cid:durableId="978462114">
    <w:abstractNumId w:val="4"/>
  </w:num>
  <w:num w:numId="27" w16cid:durableId="1265963414">
    <w:abstractNumId w:val="6"/>
  </w:num>
  <w:num w:numId="28" w16cid:durableId="115487067">
    <w:abstractNumId w:val="11"/>
  </w:num>
  <w:num w:numId="29" w16cid:durableId="1926065238">
    <w:abstractNumId w:val="7"/>
  </w:num>
  <w:num w:numId="30" w16cid:durableId="904098529">
    <w:abstractNumId w:val="15"/>
  </w:num>
  <w:num w:numId="31" w16cid:durableId="14604965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BF"/>
    <w:rsid w:val="00000FEC"/>
    <w:rsid w:val="00016028"/>
    <w:rsid w:val="00043623"/>
    <w:rsid w:val="00052EB2"/>
    <w:rsid w:val="000557B0"/>
    <w:rsid w:val="0006315C"/>
    <w:rsid w:val="00087EC0"/>
    <w:rsid w:val="000A4B80"/>
    <w:rsid w:val="000F3A30"/>
    <w:rsid w:val="000F67F1"/>
    <w:rsid w:val="00141916"/>
    <w:rsid w:val="001470CF"/>
    <w:rsid w:val="00163AF4"/>
    <w:rsid w:val="00173AF8"/>
    <w:rsid w:val="001A1E4A"/>
    <w:rsid w:val="001B18FF"/>
    <w:rsid w:val="002027CA"/>
    <w:rsid w:val="00230B23"/>
    <w:rsid w:val="002365F5"/>
    <w:rsid w:val="00264C2D"/>
    <w:rsid w:val="00276D7E"/>
    <w:rsid w:val="002B17A2"/>
    <w:rsid w:val="002B7379"/>
    <w:rsid w:val="002C11FA"/>
    <w:rsid w:val="002C327D"/>
    <w:rsid w:val="002C37DA"/>
    <w:rsid w:val="002C45BE"/>
    <w:rsid w:val="002C57C9"/>
    <w:rsid w:val="002D139C"/>
    <w:rsid w:val="002D7BAA"/>
    <w:rsid w:val="00307FFE"/>
    <w:rsid w:val="00371912"/>
    <w:rsid w:val="0039771D"/>
    <w:rsid w:val="003A2460"/>
    <w:rsid w:val="003A79D2"/>
    <w:rsid w:val="003B55A3"/>
    <w:rsid w:val="003E4227"/>
    <w:rsid w:val="004018E8"/>
    <w:rsid w:val="00402A3E"/>
    <w:rsid w:val="00402EBE"/>
    <w:rsid w:val="004115D5"/>
    <w:rsid w:val="00413DEB"/>
    <w:rsid w:val="00420A09"/>
    <w:rsid w:val="004337B1"/>
    <w:rsid w:val="004821BF"/>
    <w:rsid w:val="004A0A07"/>
    <w:rsid w:val="004B0405"/>
    <w:rsid w:val="004B7AFB"/>
    <w:rsid w:val="004C412D"/>
    <w:rsid w:val="004E01B8"/>
    <w:rsid w:val="004E4C48"/>
    <w:rsid w:val="004E52E4"/>
    <w:rsid w:val="00523F74"/>
    <w:rsid w:val="00547EB2"/>
    <w:rsid w:val="00577DF2"/>
    <w:rsid w:val="005B4288"/>
    <w:rsid w:val="005B6C37"/>
    <w:rsid w:val="00605AEB"/>
    <w:rsid w:val="00621A7B"/>
    <w:rsid w:val="00645819"/>
    <w:rsid w:val="00665877"/>
    <w:rsid w:val="0069130D"/>
    <w:rsid w:val="006A4B01"/>
    <w:rsid w:val="006A6D20"/>
    <w:rsid w:val="006B1698"/>
    <w:rsid w:val="006C483E"/>
    <w:rsid w:val="006D05AB"/>
    <w:rsid w:val="006D687B"/>
    <w:rsid w:val="00702127"/>
    <w:rsid w:val="007158F0"/>
    <w:rsid w:val="007446E9"/>
    <w:rsid w:val="007725AF"/>
    <w:rsid w:val="00786019"/>
    <w:rsid w:val="007C1D9F"/>
    <w:rsid w:val="007C5201"/>
    <w:rsid w:val="007C7BA2"/>
    <w:rsid w:val="007D3091"/>
    <w:rsid w:val="007F0031"/>
    <w:rsid w:val="008206D9"/>
    <w:rsid w:val="008316E8"/>
    <w:rsid w:val="008352A5"/>
    <w:rsid w:val="00877D70"/>
    <w:rsid w:val="008D1023"/>
    <w:rsid w:val="008D152C"/>
    <w:rsid w:val="008D5CE6"/>
    <w:rsid w:val="008E150A"/>
    <w:rsid w:val="008E56F2"/>
    <w:rsid w:val="008F09EA"/>
    <w:rsid w:val="00902155"/>
    <w:rsid w:val="009136AF"/>
    <w:rsid w:val="0091570B"/>
    <w:rsid w:val="00916C22"/>
    <w:rsid w:val="00921420"/>
    <w:rsid w:val="009328A7"/>
    <w:rsid w:val="0093438B"/>
    <w:rsid w:val="00942310"/>
    <w:rsid w:val="00956051"/>
    <w:rsid w:val="00961339"/>
    <w:rsid w:val="009753AC"/>
    <w:rsid w:val="00996116"/>
    <w:rsid w:val="009A15FB"/>
    <w:rsid w:val="009A2D84"/>
    <w:rsid w:val="009B6236"/>
    <w:rsid w:val="00A07DD5"/>
    <w:rsid w:val="00A350F3"/>
    <w:rsid w:val="00A35EA9"/>
    <w:rsid w:val="00A4117E"/>
    <w:rsid w:val="00A56069"/>
    <w:rsid w:val="00A60BC7"/>
    <w:rsid w:val="00A650C6"/>
    <w:rsid w:val="00A67767"/>
    <w:rsid w:val="00A72BE7"/>
    <w:rsid w:val="00AB1D24"/>
    <w:rsid w:val="00AB2101"/>
    <w:rsid w:val="00AD0DEE"/>
    <w:rsid w:val="00AD31E7"/>
    <w:rsid w:val="00AE6749"/>
    <w:rsid w:val="00AF0433"/>
    <w:rsid w:val="00AF71FD"/>
    <w:rsid w:val="00B00791"/>
    <w:rsid w:val="00B0586A"/>
    <w:rsid w:val="00B11490"/>
    <w:rsid w:val="00B1316D"/>
    <w:rsid w:val="00B5308F"/>
    <w:rsid w:val="00B77E15"/>
    <w:rsid w:val="00B90B7A"/>
    <w:rsid w:val="00B94A62"/>
    <w:rsid w:val="00B97F47"/>
    <w:rsid w:val="00BB6C26"/>
    <w:rsid w:val="00BC6563"/>
    <w:rsid w:val="00BD7C23"/>
    <w:rsid w:val="00BE38DC"/>
    <w:rsid w:val="00C157E0"/>
    <w:rsid w:val="00C163F9"/>
    <w:rsid w:val="00C2456A"/>
    <w:rsid w:val="00C36ED9"/>
    <w:rsid w:val="00C55FE2"/>
    <w:rsid w:val="00C61C44"/>
    <w:rsid w:val="00C73D56"/>
    <w:rsid w:val="00C821C1"/>
    <w:rsid w:val="00C83131"/>
    <w:rsid w:val="00C94E30"/>
    <w:rsid w:val="00CB07FE"/>
    <w:rsid w:val="00CC1D45"/>
    <w:rsid w:val="00CD136F"/>
    <w:rsid w:val="00CF4604"/>
    <w:rsid w:val="00D13CC2"/>
    <w:rsid w:val="00D50F60"/>
    <w:rsid w:val="00D8123B"/>
    <w:rsid w:val="00D813FC"/>
    <w:rsid w:val="00D816EF"/>
    <w:rsid w:val="00D93141"/>
    <w:rsid w:val="00DB5002"/>
    <w:rsid w:val="00DF4945"/>
    <w:rsid w:val="00E24B5D"/>
    <w:rsid w:val="00E309DA"/>
    <w:rsid w:val="00E41134"/>
    <w:rsid w:val="00E5624B"/>
    <w:rsid w:val="00F01E45"/>
    <w:rsid w:val="00F17C4F"/>
    <w:rsid w:val="00F24AFC"/>
    <w:rsid w:val="00F3732B"/>
    <w:rsid w:val="00F66628"/>
    <w:rsid w:val="00F76139"/>
    <w:rsid w:val="00F863C3"/>
    <w:rsid w:val="00F91295"/>
    <w:rsid w:val="00FA7465"/>
    <w:rsid w:val="00FC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9353F"/>
  <w15:chartTrackingRefBased/>
  <w15:docId w15:val="{D5C02531-9DD6-44D0-A319-7235EF6E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3AC"/>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semiHidden/>
    <w:unhideWhenUsed/>
    <w:qFormat/>
    <w:rsid w:val="009753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1BF"/>
    <w:pPr>
      <w:ind w:left="720"/>
      <w:contextualSpacing/>
    </w:pPr>
  </w:style>
  <w:style w:type="paragraph" w:styleId="Header">
    <w:name w:val="header"/>
    <w:basedOn w:val="Normal"/>
    <w:link w:val="HeaderChar"/>
    <w:uiPriority w:val="99"/>
    <w:unhideWhenUsed/>
    <w:rsid w:val="00C24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6A"/>
  </w:style>
  <w:style w:type="paragraph" w:styleId="Footer">
    <w:name w:val="footer"/>
    <w:basedOn w:val="Normal"/>
    <w:link w:val="FooterChar"/>
    <w:uiPriority w:val="99"/>
    <w:unhideWhenUsed/>
    <w:rsid w:val="00C24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56A"/>
  </w:style>
  <w:style w:type="character" w:styleId="Hyperlink">
    <w:name w:val="Hyperlink"/>
    <w:basedOn w:val="DefaultParagraphFont"/>
    <w:uiPriority w:val="99"/>
    <w:unhideWhenUsed/>
    <w:rsid w:val="00B90B7A"/>
    <w:rPr>
      <w:color w:val="0563C1" w:themeColor="hyperlink"/>
      <w:u w:val="single"/>
    </w:rPr>
  </w:style>
  <w:style w:type="character" w:customStyle="1" w:styleId="UnresolvedMention1">
    <w:name w:val="Unresolved Mention1"/>
    <w:basedOn w:val="DefaultParagraphFont"/>
    <w:uiPriority w:val="99"/>
    <w:semiHidden/>
    <w:unhideWhenUsed/>
    <w:rsid w:val="00B90B7A"/>
    <w:rPr>
      <w:color w:val="605E5C"/>
      <w:shd w:val="clear" w:color="auto" w:fill="E1DFDD"/>
    </w:rPr>
  </w:style>
  <w:style w:type="character" w:styleId="Strong">
    <w:name w:val="Strong"/>
    <w:basedOn w:val="DefaultParagraphFont"/>
    <w:uiPriority w:val="22"/>
    <w:qFormat/>
    <w:rsid w:val="007D3091"/>
    <w:rPr>
      <w:b/>
      <w:bCs/>
    </w:rPr>
  </w:style>
  <w:style w:type="character" w:customStyle="1" w:styleId="apple-converted-space">
    <w:name w:val="apple-converted-space"/>
    <w:basedOn w:val="DefaultParagraphFont"/>
    <w:rsid w:val="007D3091"/>
  </w:style>
  <w:style w:type="paragraph" w:styleId="NormalWeb">
    <w:name w:val="Normal (Web)"/>
    <w:basedOn w:val="Normal"/>
    <w:uiPriority w:val="99"/>
    <w:semiHidden/>
    <w:unhideWhenUsed/>
    <w:rsid w:val="00FA746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115D5"/>
    <w:rPr>
      <w:color w:val="954F72" w:themeColor="followedHyperlink"/>
      <w:u w:val="single"/>
    </w:rPr>
  </w:style>
  <w:style w:type="table" w:styleId="TableGrid">
    <w:name w:val="Table Grid"/>
    <w:basedOn w:val="TableNormal"/>
    <w:uiPriority w:val="39"/>
    <w:rsid w:val="00B11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53AC"/>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semiHidden/>
    <w:rsid w:val="009753A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402EBE"/>
    <w:rPr>
      <w:color w:val="605E5C"/>
      <w:shd w:val="clear" w:color="auto" w:fill="E1DFDD"/>
    </w:rPr>
  </w:style>
  <w:style w:type="character" w:styleId="CommentReference">
    <w:name w:val="annotation reference"/>
    <w:basedOn w:val="DefaultParagraphFont"/>
    <w:uiPriority w:val="99"/>
    <w:semiHidden/>
    <w:unhideWhenUsed/>
    <w:rsid w:val="00D816EF"/>
    <w:rPr>
      <w:sz w:val="16"/>
      <w:szCs w:val="16"/>
    </w:rPr>
  </w:style>
  <w:style w:type="paragraph" w:styleId="CommentText">
    <w:name w:val="annotation text"/>
    <w:basedOn w:val="Normal"/>
    <w:link w:val="CommentTextChar"/>
    <w:uiPriority w:val="99"/>
    <w:semiHidden/>
    <w:unhideWhenUsed/>
    <w:rsid w:val="00D816EF"/>
    <w:pPr>
      <w:spacing w:line="240" w:lineRule="auto"/>
    </w:pPr>
    <w:rPr>
      <w:sz w:val="20"/>
      <w:szCs w:val="20"/>
    </w:rPr>
  </w:style>
  <w:style w:type="character" w:customStyle="1" w:styleId="CommentTextChar">
    <w:name w:val="Comment Text Char"/>
    <w:basedOn w:val="DefaultParagraphFont"/>
    <w:link w:val="CommentText"/>
    <w:uiPriority w:val="99"/>
    <w:semiHidden/>
    <w:rsid w:val="00D816EF"/>
    <w:rPr>
      <w:sz w:val="20"/>
      <w:szCs w:val="20"/>
    </w:rPr>
  </w:style>
  <w:style w:type="paragraph" w:styleId="CommentSubject">
    <w:name w:val="annotation subject"/>
    <w:basedOn w:val="CommentText"/>
    <w:next w:val="CommentText"/>
    <w:link w:val="CommentSubjectChar"/>
    <w:uiPriority w:val="99"/>
    <w:semiHidden/>
    <w:unhideWhenUsed/>
    <w:rsid w:val="00D816EF"/>
    <w:rPr>
      <w:b/>
      <w:bCs/>
    </w:rPr>
  </w:style>
  <w:style w:type="character" w:customStyle="1" w:styleId="CommentSubjectChar">
    <w:name w:val="Comment Subject Char"/>
    <w:basedOn w:val="CommentTextChar"/>
    <w:link w:val="CommentSubject"/>
    <w:uiPriority w:val="99"/>
    <w:semiHidden/>
    <w:rsid w:val="00D816EF"/>
    <w:rPr>
      <w:b/>
      <w:bCs/>
      <w:sz w:val="20"/>
      <w:szCs w:val="20"/>
    </w:rPr>
  </w:style>
  <w:style w:type="paragraph" w:styleId="Revision">
    <w:name w:val="Revision"/>
    <w:hidden/>
    <w:uiPriority w:val="99"/>
    <w:semiHidden/>
    <w:rsid w:val="001B1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8027">
      <w:bodyDiv w:val="1"/>
      <w:marLeft w:val="0"/>
      <w:marRight w:val="0"/>
      <w:marTop w:val="0"/>
      <w:marBottom w:val="0"/>
      <w:divBdr>
        <w:top w:val="none" w:sz="0" w:space="0" w:color="auto"/>
        <w:left w:val="none" w:sz="0" w:space="0" w:color="auto"/>
        <w:bottom w:val="none" w:sz="0" w:space="0" w:color="auto"/>
        <w:right w:val="none" w:sz="0" w:space="0" w:color="auto"/>
      </w:divBdr>
    </w:div>
    <w:div w:id="225915163">
      <w:bodyDiv w:val="1"/>
      <w:marLeft w:val="0"/>
      <w:marRight w:val="0"/>
      <w:marTop w:val="0"/>
      <w:marBottom w:val="0"/>
      <w:divBdr>
        <w:top w:val="none" w:sz="0" w:space="0" w:color="auto"/>
        <w:left w:val="none" w:sz="0" w:space="0" w:color="auto"/>
        <w:bottom w:val="none" w:sz="0" w:space="0" w:color="auto"/>
        <w:right w:val="none" w:sz="0" w:space="0" w:color="auto"/>
      </w:divBdr>
    </w:div>
    <w:div w:id="335809803">
      <w:bodyDiv w:val="1"/>
      <w:marLeft w:val="0"/>
      <w:marRight w:val="0"/>
      <w:marTop w:val="0"/>
      <w:marBottom w:val="0"/>
      <w:divBdr>
        <w:top w:val="none" w:sz="0" w:space="0" w:color="auto"/>
        <w:left w:val="none" w:sz="0" w:space="0" w:color="auto"/>
        <w:bottom w:val="none" w:sz="0" w:space="0" w:color="auto"/>
        <w:right w:val="none" w:sz="0" w:space="0" w:color="auto"/>
      </w:divBdr>
    </w:div>
    <w:div w:id="671373462">
      <w:bodyDiv w:val="1"/>
      <w:marLeft w:val="0"/>
      <w:marRight w:val="0"/>
      <w:marTop w:val="0"/>
      <w:marBottom w:val="0"/>
      <w:divBdr>
        <w:top w:val="none" w:sz="0" w:space="0" w:color="auto"/>
        <w:left w:val="none" w:sz="0" w:space="0" w:color="auto"/>
        <w:bottom w:val="none" w:sz="0" w:space="0" w:color="auto"/>
        <w:right w:val="none" w:sz="0" w:space="0" w:color="auto"/>
      </w:divBdr>
    </w:div>
    <w:div w:id="951940174">
      <w:bodyDiv w:val="1"/>
      <w:marLeft w:val="0"/>
      <w:marRight w:val="0"/>
      <w:marTop w:val="0"/>
      <w:marBottom w:val="0"/>
      <w:divBdr>
        <w:top w:val="none" w:sz="0" w:space="0" w:color="auto"/>
        <w:left w:val="none" w:sz="0" w:space="0" w:color="auto"/>
        <w:bottom w:val="none" w:sz="0" w:space="0" w:color="auto"/>
        <w:right w:val="none" w:sz="0" w:space="0" w:color="auto"/>
      </w:divBdr>
    </w:div>
    <w:div w:id="983661610">
      <w:bodyDiv w:val="1"/>
      <w:marLeft w:val="0"/>
      <w:marRight w:val="0"/>
      <w:marTop w:val="0"/>
      <w:marBottom w:val="0"/>
      <w:divBdr>
        <w:top w:val="none" w:sz="0" w:space="0" w:color="auto"/>
        <w:left w:val="none" w:sz="0" w:space="0" w:color="auto"/>
        <w:bottom w:val="none" w:sz="0" w:space="0" w:color="auto"/>
        <w:right w:val="none" w:sz="0" w:space="0" w:color="auto"/>
      </w:divBdr>
    </w:div>
    <w:div w:id="1583879861">
      <w:bodyDiv w:val="1"/>
      <w:marLeft w:val="0"/>
      <w:marRight w:val="0"/>
      <w:marTop w:val="0"/>
      <w:marBottom w:val="0"/>
      <w:divBdr>
        <w:top w:val="none" w:sz="0" w:space="0" w:color="auto"/>
        <w:left w:val="none" w:sz="0" w:space="0" w:color="auto"/>
        <w:bottom w:val="none" w:sz="0" w:space="0" w:color="auto"/>
        <w:right w:val="none" w:sz="0" w:space="0" w:color="auto"/>
      </w:divBdr>
    </w:div>
    <w:div w:id="1585530911">
      <w:bodyDiv w:val="1"/>
      <w:marLeft w:val="0"/>
      <w:marRight w:val="0"/>
      <w:marTop w:val="0"/>
      <w:marBottom w:val="0"/>
      <w:divBdr>
        <w:top w:val="none" w:sz="0" w:space="0" w:color="auto"/>
        <w:left w:val="none" w:sz="0" w:space="0" w:color="auto"/>
        <w:bottom w:val="none" w:sz="0" w:space="0" w:color="auto"/>
        <w:right w:val="none" w:sz="0" w:space="0" w:color="auto"/>
      </w:divBdr>
    </w:div>
    <w:div w:id="1756052566">
      <w:bodyDiv w:val="1"/>
      <w:marLeft w:val="0"/>
      <w:marRight w:val="0"/>
      <w:marTop w:val="0"/>
      <w:marBottom w:val="0"/>
      <w:divBdr>
        <w:top w:val="none" w:sz="0" w:space="0" w:color="auto"/>
        <w:left w:val="none" w:sz="0" w:space="0" w:color="auto"/>
        <w:bottom w:val="none" w:sz="0" w:space="0" w:color="auto"/>
        <w:right w:val="none" w:sz="0" w:space="0" w:color="auto"/>
      </w:divBdr>
    </w:div>
    <w:div w:id="1761487538">
      <w:bodyDiv w:val="1"/>
      <w:marLeft w:val="0"/>
      <w:marRight w:val="0"/>
      <w:marTop w:val="0"/>
      <w:marBottom w:val="0"/>
      <w:divBdr>
        <w:top w:val="none" w:sz="0" w:space="0" w:color="auto"/>
        <w:left w:val="none" w:sz="0" w:space="0" w:color="auto"/>
        <w:bottom w:val="none" w:sz="0" w:space="0" w:color="auto"/>
        <w:right w:val="none" w:sz="0" w:space="0" w:color="auto"/>
      </w:divBdr>
    </w:div>
    <w:div w:id="19927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groupastrep/igas-infections-investigation.html" TargetMode="External"/><Relationship Id="rId18" Type="http://schemas.openxmlformats.org/officeDocument/2006/relationships/hyperlink" Target="https://www.cdc.gov/groupastrep/diseases-hcp/necrotizing-fasciitis.html" TargetMode="External"/><Relationship Id="rId26" Type="http://schemas.openxmlformats.org/officeDocument/2006/relationships/hyperlink" Target="https://www.cdc.gov/groupastrep/diseases-hcp/strep-throat.html" TargetMode="External"/><Relationship Id="rId39" Type="http://schemas.openxmlformats.org/officeDocument/2006/relationships/hyperlink" Target="https://www.cdc.gov/handwashing/faqs.html" TargetMode="External"/><Relationship Id="rId21" Type="http://schemas.openxmlformats.org/officeDocument/2006/relationships/hyperlink" Target="https://www.who.int/europe/news/item/12-12-2022-increase-in-invasive-group-a-streptococcal-infections-among-children-in-europe--including-fatalities" TargetMode="External"/><Relationship Id="rId34" Type="http://schemas.openxmlformats.org/officeDocument/2006/relationships/hyperlink" Target="https://nccid.ca/debrief/group-a-streptococcus" TargetMode="External"/><Relationship Id="rId42" Type="http://schemas.openxmlformats.org/officeDocument/2006/relationships/hyperlink" Target="https://www.cdc.gov/groupastrep/diseases-public/necrotizing-fasciitis.html" TargetMode="External"/><Relationship Id="rId47" Type="http://schemas.openxmlformats.org/officeDocument/2006/relationships/hyperlink" Target="https://www.cdc.gov/groupastrep/igas-infections-investigation.html" TargetMode="External"/><Relationship Id="rId50" Type="http://schemas.openxmlformats.org/officeDocument/2006/relationships/hyperlink" Target="https://www.cdc.gov/infectioncontrol/guidelines/healthcare-personnel/selected-infections/group-a-strep.html" TargetMode="External"/><Relationship Id="rId55"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dc.gov/groupastrep/igas-infections-investigation.html" TargetMode="External"/><Relationship Id="rId17" Type="http://schemas.openxmlformats.org/officeDocument/2006/relationships/hyperlink" Target="https://www.cdc.gov/groupastrep/diseases-hcp/necrotizing-fasciitis.html" TargetMode="External"/><Relationship Id="rId25" Type="http://schemas.openxmlformats.org/officeDocument/2006/relationships/hyperlink" Target="https://www.cdc.gov/groupastrep/diseases-hcp/necrotizing-fasciitis.html" TargetMode="External"/><Relationship Id="rId33" Type="http://schemas.openxmlformats.org/officeDocument/2006/relationships/hyperlink" Target="https://www.cdc.gov/groupastrep/index.html" TargetMode="External"/><Relationship Id="rId38" Type="http://schemas.openxmlformats.org/officeDocument/2006/relationships/hyperlink" Target="https://www.cdc.gov/groupastrep/igas-infections-investigation.html" TargetMode="External"/><Relationship Id="rId46" Type="http://schemas.openxmlformats.org/officeDocument/2006/relationships/hyperlink" Target="https://www.cdc.gov/groupastrep/igas-infections-investigation.html" TargetMode="External"/><Relationship Id="rId2" Type="http://schemas.openxmlformats.org/officeDocument/2006/relationships/customXml" Target="../customXml/item2.xml"/><Relationship Id="rId16" Type="http://schemas.openxmlformats.org/officeDocument/2006/relationships/hyperlink" Target="https://ndc.services.cdc.gov/case-definitions/streptococcal-toxic-shock-syndrome-2010/" TargetMode="External"/><Relationship Id="rId20" Type="http://schemas.openxmlformats.org/officeDocument/2006/relationships/hyperlink" Target="https://ndc.services.cdc.gov/case-definitions/streptococcal-toxic-shock-syndrome-2010/" TargetMode="External"/><Relationship Id="rId29" Type="http://schemas.openxmlformats.org/officeDocument/2006/relationships/hyperlink" Target="https://emergency.cdc.gov/agent/agentlist-category.asp" TargetMode="External"/><Relationship Id="rId41" Type="http://schemas.openxmlformats.org/officeDocument/2006/relationships/hyperlink" Target="https://www.cdc.gov/groupastrep/igas-infections-investigation.html" TargetMode="External"/><Relationship Id="rId54" Type="http://schemas.openxmlformats.org/officeDocument/2006/relationships/hyperlink" Target="https://text.apic.org/toc/healthcare-associated-pathogens-and-diseases/streptococc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c.gov/groupastrep/diseases-hcp/necrotizing-fasciitis.html" TargetMode="External"/><Relationship Id="rId32" Type="http://schemas.openxmlformats.org/officeDocument/2006/relationships/hyperlink" Target="https://www.cdc.gov/infectioncontrol/guidelines/isolation/index.html" TargetMode="External"/><Relationship Id="rId37" Type="http://schemas.openxmlformats.org/officeDocument/2006/relationships/hyperlink" Target="https://www.cdc.gov/groupastrep/igas-infections-investigation.html" TargetMode="External"/><Relationship Id="rId40" Type="http://schemas.openxmlformats.org/officeDocument/2006/relationships/hyperlink" Target="https://www.cdc.gov/flu/prevent/actions-prevent-flu.htm" TargetMode="External"/><Relationship Id="rId45" Type="http://schemas.openxmlformats.org/officeDocument/2006/relationships/hyperlink" Target="https://www.cdc.gov/groupastrep/igas-infections-investigation.html" TargetMode="External"/><Relationship Id="rId53" Type="http://schemas.openxmlformats.org/officeDocument/2006/relationships/hyperlink" Target="https://www.cdc.gov/infectioncontrol/guidelines/healthcare-personnel/selected-infections/group-a-strep.html" TargetMode="External"/><Relationship Id="rId5" Type="http://schemas.openxmlformats.org/officeDocument/2006/relationships/numbering" Target="numbering.xml"/><Relationship Id="rId15" Type="http://schemas.openxmlformats.org/officeDocument/2006/relationships/hyperlink" Target="https://www.cdc.gov/groupastrep/diseases-hcp/necrotizing-fasciitis.html" TargetMode="External"/><Relationship Id="rId23" Type="http://schemas.openxmlformats.org/officeDocument/2006/relationships/hyperlink" Target="https://www.cdc.gov/groupastrep/outbreaks.html" TargetMode="External"/><Relationship Id="rId28" Type="http://schemas.openxmlformats.org/officeDocument/2006/relationships/hyperlink" Target="https://ndc.services.cdc.gov/case-definitions/streptococcus-disease-invasive-group-a-1995/" TargetMode="External"/><Relationship Id="rId36" Type="http://schemas.openxmlformats.org/officeDocument/2006/relationships/hyperlink" Target="https://academic.oup.com/cid/article/35/8/950/330363" TargetMode="External"/><Relationship Id="rId49" Type="http://schemas.openxmlformats.org/officeDocument/2006/relationships/hyperlink" Target="https://www.cdc.gov/infectioncontrol/guidelines/healthcare-personnel/selected-infections/group-a-strep.html"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groupastrep/diseases-hcp/Streptococcal-Toxic-Shock-Syndrome.html" TargetMode="External"/><Relationship Id="rId31" Type="http://schemas.openxmlformats.org/officeDocument/2006/relationships/hyperlink" Target="https://www.cdc.gov/groupastrep/diseases-hcp/strep-throat.html" TargetMode="External"/><Relationship Id="rId44" Type="http://schemas.openxmlformats.org/officeDocument/2006/relationships/hyperlink" Target="https://www.cdc.gov/groupastrep/diseases-public/cellulitis.html" TargetMode="External"/><Relationship Id="rId52" Type="http://schemas.openxmlformats.org/officeDocument/2006/relationships/hyperlink" Target="https://www.cdc.gov/infectioncontrol/guidelines/healthcare-personnel/selected-infections/group-a-strep.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dc.services.cdc.gov/case-definitions/streptococcus-disease-invasive-group-a-1995/" TargetMode="External"/><Relationship Id="rId22" Type="http://schemas.openxmlformats.org/officeDocument/2006/relationships/hyperlink" Target="https://wwwnc.cdc.gov/travel/diseases" TargetMode="External"/><Relationship Id="rId27" Type="http://schemas.openxmlformats.org/officeDocument/2006/relationships/hyperlink" Target="https://www.cdc.gov/groupastrep/diseases-hcp/Streptococcal-Toxic-Shock-Syndrome.html" TargetMode="External"/><Relationship Id="rId30" Type="http://schemas.openxmlformats.org/officeDocument/2006/relationships/hyperlink" Target="https://www.cdc.gov/groupastrep/diseases-hcp/strep-throat.html" TargetMode="External"/><Relationship Id="rId35" Type="http://schemas.openxmlformats.org/officeDocument/2006/relationships/hyperlink" Target="https://www.cdc.gov/groupastrep/diseases-hcp/strep-throat.html" TargetMode="External"/><Relationship Id="rId43" Type="http://schemas.openxmlformats.org/officeDocument/2006/relationships/hyperlink" Target="https://www.cdc.gov/groupastrep/diseases-public/streptococcal-toxic-shock-syndrome.html" TargetMode="External"/><Relationship Id="rId48" Type="http://schemas.openxmlformats.org/officeDocument/2006/relationships/hyperlink" Target="https://www.cdc.gov/infectioncontrol/guidelines/healthcare-personnel/selected-infections/group-a-strep.html"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cdc.gov/infectioncontrol/guidelines/healthcare-personnel/selected-infections/group-a-strep.html"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67FB66EDA63E45BA8523FDB98E5384" ma:contentTypeVersion="16" ma:contentTypeDescription="Create a new document." ma:contentTypeScope="" ma:versionID="f4c8bcec37967bf57a95c94a4fb60f5e">
  <xsd:schema xmlns:xsd="http://www.w3.org/2001/XMLSchema" xmlns:xs="http://www.w3.org/2001/XMLSchema" xmlns:p="http://schemas.microsoft.com/office/2006/metadata/properties" xmlns:ns2="48ce9735-928d-4226-b3a5-180101d3b3b5" xmlns:ns3="5dfa559b-584f-4472-9308-504393d558fe" targetNamespace="http://schemas.microsoft.com/office/2006/metadata/properties" ma:root="true" ma:fieldsID="16aa34767abb037b1747d13a4ea9d0c8" ns2:_="" ns3:_="">
    <xsd:import namespace="48ce9735-928d-4226-b3a5-180101d3b3b5"/>
    <xsd:import namespace="5dfa559b-584f-4472-9308-504393d55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e9735-928d-4226-b3a5-180101d3b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689d5b-45da-4f0b-aafd-6c6cf6f6f6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fa559b-584f-4472-9308-504393d55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9a4755-4677-4dc8-833d-cdcc0755c796}" ma:internalName="TaxCatchAll" ma:showField="CatchAllData" ma:web="5dfa559b-584f-4472-9308-504393d55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fa559b-584f-4472-9308-504393d558fe" xsi:nil="true"/>
    <lcf76f155ced4ddcb4097134ff3c332f xmlns="48ce9735-928d-4226-b3a5-180101d3b3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EDF4C6-1CDB-4155-A5FC-04C9331CFE6B}">
  <ds:schemaRefs>
    <ds:schemaRef ds:uri="http://schemas.openxmlformats.org/officeDocument/2006/bibliography"/>
  </ds:schemaRefs>
</ds:datastoreItem>
</file>

<file path=customXml/itemProps2.xml><?xml version="1.0" encoding="utf-8"?>
<ds:datastoreItem xmlns:ds="http://schemas.openxmlformats.org/officeDocument/2006/customXml" ds:itemID="{F7812291-2E99-44E1-96D4-E3F516815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e9735-928d-4226-b3a5-180101d3b3b5"/>
    <ds:schemaRef ds:uri="5dfa559b-584f-4472-9308-504393d55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E331A-A76C-499C-A627-3EE85632B8D8}">
  <ds:schemaRefs>
    <ds:schemaRef ds:uri="http://schemas.microsoft.com/sharepoint/v3/contenttype/forms"/>
  </ds:schemaRefs>
</ds:datastoreItem>
</file>

<file path=customXml/itemProps4.xml><?xml version="1.0" encoding="utf-8"?>
<ds:datastoreItem xmlns:ds="http://schemas.openxmlformats.org/officeDocument/2006/customXml" ds:itemID="{A40480C4-AD9E-435F-8F23-5F2CF01F0577}">
  <ds:schemaRefs>
    <ds:schemaRef ds:uri="http://schemas.microsoft.com/office/2006/metadata/properties"/>
    <ds:schemaRef ds:uri="http://schemas.microsoft.com/office/infopath/2007/PartnerControls"/>
    <ds:schemaRef ds:uri="5dfa559b-584f-4472-9308-504393d558fe"/>
    <ds:schemaRef ds:uri="48ce9735-928d-4226-b3a5-180101d3b3b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3083</Words>
  <Characters>17577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Lozano Rosa</dc:creator>
  <cp:keywords/>
  <dc:description/>
  <cp:lastModifiedBy>Liz Garman</cp:lastModifiedBy>
  <cp:revision>11</cp:revision>
  <cp:lastPrinted>2023-04-14T10:14:00Z</cp:lastPrinted>
  <dcterms:created xsi:type="dcterms:W3CDTF">2023-04-14T17:55:00Z</dcterms:created>
  <dcterms:modified xsi:type="dcterms:W3CDTF">2023-04-14T18:46:00Z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0x010100DE67FB66EDA63E45BA8523FDB98E5384</vt:lpwstr>
  </property>
  <property fmtid="{D5CDD505-2E9C-101B-9397-08002B2CF9AE}" pid="3" name="MediaServiceImageTags">
    <vt:lpwstr/>
  </property>
</Properties>
</file>