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37B8" w14:textId="77777777" w:rsidR="0052365B" w:rsidRPr="00734849" w:rsidRDefault="0052365B" w:rsidP="0052365B">
      <w:pPr>
        <w:jc w:val="center"/>
        <w:rPr>
          <w:sz w:val="36"/>
          <w:szCs w:val="36"/>
        </w:rPr>
      </w:pPr>
      <w:r w:rsidRPr="00734849">
        <w:rPr>
          <w:sz w:val="36"/>
          <w:szCs w:val="36"/>
        </w:rPr>
        <w:t>Treasurer</w:t>
      </w:r>
    </w:p>
    <w:p w14:paraId="100F9FCE" w14:textId="77777777" w:rsidR="0052365B" w:rsidRDefault="0052365B" w:rsidP="0052365B">
      <w:pPr>
        <w:jc w:val="center"/>
        <w:rPr>
          <w:sz w:val="32"/>
          <w:szCs w:val="32"/>
        </w:rPr>
      </w:pPr>
      <w:bookmarkStart w:id="0" w:name="_GoBack"/>
      <w:bookmarkEnd w:id="0"/>
    </w:p>
    <w:p w14:paraId="42724C52" w14:textId="77777777" w:rsidR="0052365B" w:rsidRDefault="0052365B" w:rsidP="0052365B">
      <w:pPr>
        <w:jc w:val="center"/>
        <w:rPr>
          <w:sz w:val="32"/>
          <w:szCs w:val="32"/>
        </w:rPr>
      </w:pPr>
    </w:p>
    <w:p w14:paraId="35E6BF41" w14:textId="77777777" w:rsidR="0052365B" w:rsidRPr="0003435E" w:rsidRDefault="00734849" w:rsidP="0052365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6ADFCBA" wp14:editId="3BC5536C">
            <wp:extent cx="2119913" cy="1628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ature_Imag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401" cy="163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3F5CE" w14:textId="77777777" w:rsidR="0052365B" w:rsidRDefault="0052365B" w:rsidP="0052365B">
      <w:pPr>
        <w:tabs>
          <w:tab w:val="left" w:pos="-1440"/>
        </w:tabs>
        <w:rPr>
          <w:b/>
          <w:sz w:val="28"/>
          <w:szCs w:val="28"/>
        </w:rPr>
      </w:pPr>
    </w:p>
    <w:p w14:paraId="7A39CDD4" w14:textId="77777777" w:rsidR="0052365B" w:rsidRDefault="0052365B" w:rsidP="0052365B">
      <w:pPr>
        <w:tabs>
          <w:tab w:val="left" w:pos="-1440"/>
        </w:tabs>
        <w:rPr>
          <w:b/>
          <w:sz w:val="28"/>
          <w:szCs w:val="28"/>
        </w:rPr>
      </w:pPr>
      <w:r w:rsidRPr="0052365B">
        <w:rPr>
          <w:b/>
          <w:sz w:val="28"/>
          <w:szCs w:val="28"/>
        </w:rPr>
        <w:t>TREASURER</w:t>
      </w:r>
      <w:r>
        <w:rPr>
          <w:b/>
          <w:sz w:val="28"/>
          <w:szCs w:val="28"/>
        </w:rPr>
        <w:t>:</w:t>
      </w:r>
    </w:p>
    <w:p w14:paraId="169A30BC" w14:textId="77777777" w:rsidR="0052365B" w:rsidRDefault="001C5ECE" w:rsidP="0052365B">
      <w:pPr>
        <w:tabs>
          <w:tab w:val="left" w:pos="-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Two-year</w:t>
      </w:r>
      <w:r w:rsidR="005B06B5">
        <w:rPr>
          <w:b/>
          <w:sz w:val="28"/>
          <w:szCs w:val="28"/>
        </w:rPr>
        <w:t xml:space="preserve"> term of service</w:t>
      </w:r>
    </w:p>
    <w:p w14:paraId="344C535F" w14:textId="77777777" w:rsidR="005B06B5" w:rsidRDefault="005B06B5" w:rsidP="005B06B5">
      <w:pPr>
        <w:widowControl/>
        <w:snapToGrid/>
        <w:spacing w:after="160" w:line="256" w:lineRule="auto"/>
        <w:rPr>
          <w:rFonts w:eastAsia="Calibri"/>
          <w:sz w:val="28"/>
          <w:szCs w:val="28"/>
        </w:rPr>
      </w:pPr>
    </w:p>
    <w:p w14:paraId="6F272A64" w14:textId="77777777" w:rsidR="005B06B5" w:rsidRPr="005B06B5" w:rsidRDefault="005B06B5" w:rsidP="005B06B5">
      <w:pPr>
        <w:widowControl/>
        <w:snapToGrid/>
        <w:spacing w:after="160" w:line="256" w:lineRule="auto"/>
        <w:rPr>
          <w:rFonts w:eastAsia="Calibri"/>
          <w:sz w:val="28"/>
          <w:szCs w:val="28"/>
        </w:rPr>
      </w:pPr>
      <w:r w:rsidRPr="005B06B5">
        <w:rPr>
          <w:rFonts w:eastAsia="Calibri"/>
          <w:sz w:val="28"/>
          <w:szCs w:val="28"/>
        </w:rPr>
        <w:t>Overs</w:t>
      </w:r>
      <w:r>
        <w:rPr>
          <w:rFonts w:eastAsia="Calibri"/>
          <w:sz w:val="28"/>
          <w:szCs w:val="28"/>
        </w:rPr>
        <w:t>ight</w:t>
      </w:r>
      <w:r w:rsidRPr="005B06B5">
        <w:rPr>
          <w:rFonts w:eastAsia="Calibri"/>
          <w:sz w:val="28"/>
          <w:szCs w:val="28"/>
        </w:rPr>
        <w:t xml:space="preserve"> and responsib</w:t>
      </w:r>
      <w:r>
        <w:rPr>
          <w:rFonts w:eastAsia="Calibri"/>
          <w:sz w:val="28"/>
          <w:szCs w:val="28"/>
        </w:rPr>
        <w:t>ility</w:t>
      </w:r>
      <w:r w:rsidRPr="005B06B5">
        <w:rPr>
          <w:rFonts w:eastAsia="Calibri"/>
          <w:sz w:val="28"/>
          <w:szCs w:val="28"/>
        </w:rPr>
        <w:t xml:space="preserve"> for the management of the financial affairs </w:t>
      </w:r>
      <w:r>
        <w:rPr>
          <w:rFonts w:eastAsia="Calibri"/>
          <w:sz w:val="28"/>
          <w:szCs w:val="28"/>
        </w:rPr>
        <w:t>for</w:t>
      </w:r>
      <w:r w:rsidRPr="005B06B5">
        <w:rPr>
          <w:rFonts w:eastAsia="Calibri"/>
          <w:sz w:val="28"/>
          <w:szCs w:val="28"/>
        </w:rPr>
        <w:t xml:space="preserve"> the </w:t>
      </w:r>
      <w:r>
        <w:rPr>
          <w:rFonts w:eastAsia="Calibri"/>
          <w:sz w:val="28"/>
          <w:szCs w:val="28"/>
        </w:rPr>
        <w:t>Greater Atlanta APIC Chapter.</w:t>
      </w:r>
    </w:p>
    <w:p w14:paraId="4C923816" w14:textId="77777777" w:rsidR="005B06B5" w:rsidRDefault="005B06B5" w:rsidP="005B06B5">
      <w:pPr>
        <w:widowControl/>
        <w:snapToGrid/>
        <w:spacing w:after="160" w:line="256" w:lineRule="auto"/>
        <w:rPr>
          <w:rFonts w:eastAsia="Calibri"/>
          <w:sz w:val="28"/>
          <w:szCs w:val="28"/>
        </w:rPr>
      </w:pPr>
    </w:p>
    <w:p w14:paraId="207E8447" w14:textId="77777777" w:rsidR="005B06B5" w:rsidRDefault="005B06B5" w:rsidP="005B06B5">
      <w:pPr>
        <w:widowControl/>
        <w:snapToGrid/>
        <w:spacing w:after="160" w:line="25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Preparation</w:t>
      </w:r>
      <w:r w:rsidRPr="005B06B5">
        <w:rPr>
          <w:rFonts w:eastAsia="Calibri"/>
          <w:sz w:val="28"/>
          <w:szCs w:val="28"/>
        </w:rPr>
        <w:t xml:space="preserve"> of </w:t>
      </w:r>
      <w:r>
        <w:rPr>
          <w:rFonts w:eastAsia="Calibri"/>
          <w:sz w:val="28"/>
          <w:szCs w:val="28"/>
        </w:rPr>
        <w:t>monthly and annual</w:t>
      </w:r>
      <w:r w:rsidRPr="005B06B5">
        <w:rPr>
          <w:rFonts w:eastAsia="Calibri"/>
          <w:sz w:val="28"/>
          <w:szCs w:val="28"/>
        </w:rPr>
        <w:t xml:space="preserve"> financial reports for the </w:t>
      </w:r>
      <w:r>
        <w:rPr>
          <w:rFonts w:eastAsia="Calibri"/>
          <w:sz w:val="28"/>
          <w:szCs w:val="28"/>
        </w:rPr>
        <w:t>Board of Directors at monthly meetings.</w:t>
      </w:r>
    </w:p>
    <w:p w14:paraId="30A55AEE" w14:textId="77777777" w:rsidR="005B06B5" w:rsidRPr="005B06B5" w:rsidRDefault="005B06B5" w:rsidP="005B06B5">
      <w:pPr>
        <w:widowControl/>
        <w:snapToGrid/>
        <w:spacing w:after="160" w:line="256" w:lineRule="auto"/>
        <w:rPr>
          <w:rFonts w:eastAsia="Calibri"/>
          <w:sz w:val="28"/>
          <w:szCs w:val="28"/>
        </w:rPr>
      </w:pPr>
    </w:p>
    <w:p w14:paraId="529E2CB5" w14:textId="77777777" w:rsidR="005B06B5" w:rsidRPr="005B06B5" w:rsidRDefault="005B06B5" w:rsidP="005B06B5">
      <w:pPr>
        <w:widowControl/>
        <w:snapToGrid/>
        <w:spacing w:after="160" w:line="256" w:lineRule="auto"/>
        <w:rPr>
          <w:rFonts w:eastAsia="Calibri"/>
          <w:sz w:val="28"/>
          <w:szCs w:val="28"/>
        </w:rPr>
      </w:pPr>
      <w:r w:rsidRPr="005B06B5">
        <w:rPr>
          <w:rFonts w:eastAsia="Calibri"/>
          <w:sz w:val="28"/>
          <w:szCs w:val="28"/>
        </w:rPr>
        <w:t xml:space="preserve">Review </w:t>
      </w:r>
      <w:r>
        <w:rPr>
          <w:rFonts w:eastAsia="Calibri"/>
          <w:sz w:val="28"/>
          <w:szCs w:val="28"/>
        </w:rPr>
        <w:t xml:space="preserve">of </w:t>
      </w:r>
      <w:r w:rsidRPr="005B06B5">
        <w:rPr>
          <w:rFonts w:eastAsia="Calibri"/>
          <w:sz w:val="28"/>
          <w:szCs w:val="28"/>
        </w:rPr>
        <w:t xml:space="preserve">financial affairs </w:t>
      </w:r>
      <w:r>
        <w:rPr>
          <w:rFonts w:eastAsia="Calibri"/>
          <w:sz w:val="28"/>
          <w:szCs w:val="28"/>
        </w:rPr>
        <w:t>related to chapter</w:t>
      </w:r>
      <w:r w:rsidR="001C5ECE">
        <w:rPr>
          <w:rFonts w:eastAsia="Calibri"/>
          <w:sz w:val="28"/>
          <w:szCs w:val="28"/>
        </w:rPr>
        <w:t xml:space="preserve">, state and national </w:t>
      </w:r>
      <w:r>
        <w:rPr>
          <w:rFonts w:eastAsia="Calibri"/>
          <w:sz w:val="28"/>
          <w:szCs w:val="28"/>
        </w:rPr>
        <w:t>activities</w:t>
      </w:r>
      <w:r w:rsidR="001C5ECE">
        <w:rPr>
          <w:rFonts w:eastAsia="Calibri"/>
          <w:sz w:val="28"/>
          <w:szCs w:val="28"/>
        </w:rPr>
        <w:t>.</w:t>
      </w:r>
    </w:p>
    <w:p w14:paraId="19260A33" w14:textId="77777777" w:rsidR="001C5ECE" w:rsidRDefault="001C5ECE" w:rsidP="005B06B5">
      <w:pPr>
        <w:widowControl/>
        <w:snapToGrid/>
        <w:spacing w:after="160" w:line="256" w:lineRule="auto"/>
        <w:rPr>
          <w:rFonts w:eastAsia="Calibri"/>
          <w:sz w:val="28"/>
          <w:szCs w:val="28"/>
        </w:rPr>
      </w:pPr>
    </w:p>
    <w:p w14:paraId="63621653" w14:textId="77777777" w:rsidR="005B06B5" w:rsidRPr="005B06B5" w:rsidRDefault="001C5ECE" w:rsidP="005B06B5">
      <w:pPr>
        <w:widowControl/>
        <w:snapToGrid/>
        <w:spacing w:after="160" w:line="25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P</w:t>
      </w:r>
      <w:r w:rsidR="005B06B5" w:rsidRPr="005B06B5">
        <w:rPr>
          <w:rFonts w:eastAsia="Calibri"/>
          <w:sz w:val="28"/>
          <w:szCs w:val="28"/>
        </w:rPr>
        <w:t xml:space="preserve">reparation of the annual budget </w:t>
      </w:r>
      <w:r>
        <w:rPr>
          <w:rFonts w:eastAsia="Calibri"/>
          <w:sz w:val="28"/>
          <w:szCs w:val="28"/>
        </w:rPr>
        <w:t>for presentation to the Board of Directors.</w:t>
      </w:r>
    </w:p>
    <w:p w14:paraId="44FF5926" w14:textId="77777777" w:rsidR="001C5ECE" w:rsidRDefault="001C5ECE" w:rsidP="005B06B5">
      <w:pPr>
        <w:widowControl/>
        <w:snapToGrid/>
        <w:spacing w:after="160" w:line="256" w:lineRule="auto"/>
        <w:rPr>
          <w:rFonts w:eastAsia="Calibri"/>
          <w:sz w:val="28"/>
          <w:szCs w:val="28"/>
        </w:rPr>
      </w:pPr>
    </w:p>
    <w:p w14:paraId="130BEF55" w14:textId="77777777" w:rsidR="005B06B5" w:rsidRPr="005B06B5" w:rsidRDefault="001C5ECE" w:rsidP="005B06B5">
      <w:pPr>
        <w:widowControl/>
        <w:snapToGrid/>
        <w:spacing w:after="160" w:line="25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Serve as a </w:t>
      </w:r>
      <w:r w:rsidR="005B06B5" w:rsidRPr="005B06B5">
        <w:rPr>
          <w:rFonts w:eastAsia="Calibri"/>
          <w:sz w:val="28"/>
          <w:szCs w:val="28"/>
        </w:rPr>
        <w:t xml:space="preserve">consultant </w:t>
      </w:r>
      <w:r>
        <w:rPr>
          <w:rFonts w:eastAsia="Calibri"/>
          <w:sz w:val="28"/>
          <w:szCs w:val="28"/>
        </w:rPr>
        <w:t>for</w:t>
      </w:r>
      <w:r w:rsidR="005B06B5" w:rsidRPr="005B06B5">
        <w:rPr>
          <w:rFonts w:eastAsia="Calibri"/>
          <w:sz w:val="28"/>
          <w:szCs w:val="28"/>
        </w:rPr>
        <w:t xml:space="preserve"> any committee </w:t>
      </w:r>
      <w:r>
        <w:rPr>
          <w:rFonts w:eastAsia="Calibri"/>
          <w:sz w:val="28"/>
          <w:szCs w:val="28"/>
        </w:rPr>
        <w:t>related to Greater Atlanta APIC’s financial activities.</w:t>
      </w:r>
    </w:p>
    <w:p w14:paraId="4BE95244" w14:textId="77777777" w:rsidR="005B06B5" w:rsidRPr="005B06B5" w:rsidRDefault="005B06B5" w:rsidP="005B06B5">
      <w:pPr>
        <w:widowControl/>
        <w:snapToGrid/>
        <w:spacing w:after="160" w:line="256" w:lineRule="auto"/>
        <w:rPr>
          <w:rFonts w:eastAsia="Calibri"/>
          <w:szCs w:val="24"/>
        </w:rPr>
      </w:pPr>
    </w:p>
    <w:p w14:paraId="5105D1FE" w14:textId="77777777" w:rsidR="0052365B" w:rsidRPr="005B06B5" w:rsidRDefault="0052365B" w:rsidP="0052365B">
      <w:pPr>
        <w:tabs>
          <w:tab w:val="left" w:pos="-1440"/>
        </w:tabs>
        <w:rPr>
          <w:b/>
          <w:sz w:val="28"/>
          <w:szCs w:val="28"/>
        </w:rPr>
      </w:pPr>
    </w:p>
    <w:p w14:paraId="6755EE90" w14:textId="77777777" w:rsidR="00C40238" w:rsidRDefault="00C40238" w:rsidP="0052365B">
      <w:pPr>
        <w:jc w:val="center"/>
      </w:pPr>
    </w:p>
    <w:sectPr w:rsidR="00C40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5B"/>
    <w:rsid w:val="001C5ECE"/>
    <w:rsid w:val="0052365B"/>
    <w:rsid w:val="005B06B5"/>
    <w:rsid w:val="00734849"/>
    <w:rsid w:val="009962DB"/>
    <w:rsid w:val="00C40238"/>
    <w:rsid w:val="00F1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EADE"/>
  <w15:chartTrackingRefBased/>
  <w15:docId w15:val="{7BAC07BF-07B8-4E5D-AB7E-3D705F3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pbellpropertymanagement.com/blog/2013/12/13/condo-associations-and-hoas-can-make-money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Beth Morrow</cp:lastModifiedBy>
  <cp:revision>2</cp:revision>
  <dcterms:created xsi:type="dcterms:W3CDTF">2019-08-21T22:37:00Z</dcterms:created>
  <dcterms:modified xsi:type="dcterms:W3CDTF">2019-08-21T22:37:00Z</dcterms:modified>
</cp:coreProperties>
</file>